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49" w:type="dxa"/>
        <w:jc w:val="center"/>
        <w:tblLook w:val="01E0" w:firstRow="1" w:lastRow="1" w:firstColumn="1" w:lastColumn="1" w:noHBand="0" w:noVBand="0"/>
      </w:tblPr>
      <w:tblGrid>
        <w:gridCol w:w="4992"/>
        <w:gridCol w:w="5057"/>
      </w:tblGrid>
      <w:tr w:rsidR="00AD4D74" w:rsidRPr="00672B10" w14:paraId="63F59B59" w14:textId="77777777" w:rsidTr="00EE50B3">
        <w:trPr>
          <w:trHeight w:val="2118"/>
          <w:jc w:val="center"/>
        </w:trPr>
        <w:tc>
          <w:tcPr>
            <w:tcW w:w="4992" w:type="dxa"/>
            <w:vAlign w:val="center"/>
            <w:hideMark/>
          </w:tcPr>
          <w:p w14:paraId="5125A12E" w14:textId="4C60F657" w:rsidR="00AD4D74" w:rsidRPr="00672B10" w:rsidRDefault="00AD4D74" w:rsidP="007D25A9">
            <w:pPr>
              <w:spacing w:line="480" w:lineRule="auto"/>
              <w:ind w:firstLine="19"/>
              <w:contextualSpacing/>
              <w:jc w:val="center"/>
              <w:rPr>
                <w:rFonts w:ascii="Arial" w:hAnsi="Arial" w:cs="Arial"/>
                <w:lang w:val="en-GB"/>
              </w:rPr>
            </w:pPr>
            <w:r w:rsidRPr="00672B10">
              <w:rPr>
                <w:rFonts w:ascii="Arial" w:hAnsi="Arial" w:cs="Arial"/>
                <w:noProof/>
              </w:rPr>
              <w:drawing>
                <wp:inline distT="0" distB="0" distL="0" distR="0" wp14:anchorId="10D1869B" wp14:editId="30D0913F">
                  <wp:extent cx="2924175" cy="990600"/>
                  <wp:effectExtent l="0" t="0" r="9525" b="0"/>
                  <wp:docPr id="1" name="Picture 1" descr="UHC_Logo_IHP_rgb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HC_Logo_IHP_rgb_Colou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24175" cy="990600"/>
                          </a:xfrm>
                          <a:prstGeom prst="rect">
                            <a:avLst/>
                          </a:prstGeom>
                          <a:noFill/>
                          <a:ln>
                            <a:noFill/>
                          </a:ln>
                        </pic:spPr>
                      </pic:pic>
                    </a:graphicData>
                  </a:graphic>
                </wp:inline>
              </w:drawing>
            </w:r>
          </w:p>
        </w:tc>
        <w:tc>
          <w:tcPr>
            <w:tcW w:w="5057" w:type="dxa"/>
            <w:vAlign w:val="center"/>
            <w:hideMark/>
          </w:tcPr>
          <w:p w14:paraId="2BA53662" w14:textId="77777777" w:rsidR="00AD4D74" w:rsidRPr="00D93BB9" w:rsidRDefault="00AD4D74" w:rsidP="007D25A9">
            <w:pPr>
              <w:spacing w:line="400" w:lineRule="exact"/>
              <w:contextualSpacing/>
              <w:rPr>
                <w:rFonts w:ascii="Arial" w:hAnsi="Arial" w:cs="Arial"/>
                <w:b/>
                <w:bCs/>
                <w:smallCaps/>
                <w:lang w:val="en-GB"/>
              </w:rPr>
            </w:pPr>
            <w:r w:rsidRPr="00D93BB9">
              <w:rPr>
                <w:rFonts w:ascii="Arial" w:hAnsi="Arial" w:cs="Arial"/>
                <w:b/>
                <w:bCs/>
                <w:smallCaps/>
                <w:lang w:val="en-GB"/>
              </w:rPr>
              <w:t>UHC2030 Steering Committee</w:t>
            </w:r>
          </w:p>
          <w:p w14:paraId="7C240AD1" w14:textId="77777777" w:rsidR="00AD4D74" w:rsidRPr="00D93BB9" w:rsidRDefault="00AD4D74" w:rsidP="007D25A9">
            <w:pPr>
              <w:spacing w:line="400" w:lineRule="exact"/>
              <w:contextualSpacing/>
              <w:rPr>
                <w:rFonts w:ascii="Arial" w:hAnsi="Arial" w:cs="Arial"/>
                <w:b/>
                <w:bCs/>
                <w:lang w:val="en-GB"/>
              </w:rPr>
            </w:pPr>
            <w:r>
              <w:rPr>
                <w:rFonts w:ascii="Arial" w:hAnsi="Arial" w:cs="Arial"/>
                <w:b/>
                <w:bCs/>
                <w:lang w:val="en-GB"/>
              </w:rPr>
              <w:t>8</w:t>
            </w:r>
            <w:r w:rsidRPr="00D93BB9">
              <w:rPr>
                <w:rFonts w:ascii="Arial" w:hAnsi="Arial" w:cs="Arial"/>
                <w:b/>
                <w:bCs/>
                <w:lang w:val="en-GB"/>
              </w:rPr>
              <w:t xml:space="preserve">th Session </w:t>
            </w:r>
            <w:r>
              <w:rPr>
                <w:rFonts w:ascii="Arial" w:hAnsi="Arial" w:cs="Arial"/>
                <w:b/>
                <w:bCs/>
                <w:lang w:val="en-GB"/>
              </w:rPr>
              <w:t>– 3-4 February 2021</w:t>
            </w:r>
          </w:p>
          <w:p w14:paraId="0DBFDD21" w14:textId="3A425FA5" w:rsidR="00AD4D74" w:rsidRPr="0053722D" w:rsidRDefault="00AD4D74" w:rsidP="007D25A9">
            <w:pPr>
              <w:spacing w:line="400" w:lineRule="exact"/>
              <w:contextualSpacing/>
              <w:rPr>
                <w:rFonts w:ascii="Arial" w:hAnsi="Arial" w:cs="Arial"/>
                <w:b/>
                <w:bCs/>
                <w:lang w:val="en-GB"/>
              </w:rPr>
            </w:pPr>
            <w:r>
              <w:rPr>
                <w:rFonts w:ascii="Arial" w:hAnsi="Arial" w:cs="Arial"/>
                <w:b/>
                <w:bCs/>
                <w:lang w:val="en-GB"/>
              </w:rPr>
              <w:t>Videoconference (Zoom)</w:t>
            </w:r>
          </w:p>
          <w:p w14:paraId="1492EF5E" w14:textId="77777777" w:rsidR="00AD4D74" w:rsidRPr="00672B10" w:rsidRDefault="00AD4D74" w:rsidP="007D25A9">
            <w:pPr>
              <w:contextualSpacing/>
              <w:rPr>
                <w:rFonts w:ascii="Arial" w:hAnsi="Arial" w:cs="Arial"/>
                <w:b/>
                <w:bCs/>
                <w:lang w:val="en-GB"/>
              </w:rPr>
            </w:pPr>
          </w:p>
        </w:tc>
      </w:tr>
    </w:tbl>
    <w:p w14:paraId="0BD50F83" w14:textId="77777777" w:rsidR="00AD4D74" w:rsidRDefault="00AD4D74" w:rsidP="007D25A9">
      <w:pPr>
        <w:rPr>
          <w:rFonts w:ascii="Arial" w:hAnsi="Arial" w:cs="Arial"/>
          <w:b/>
          <w:bCs/>
          <w:color w:val="3A93C6"/>
          <w:sz w:val="24"/>
        </w:rPr>
      </w:pPr>
    </w:p>
    <w:p w14:paraId="0AD359D3" w14:textId="77777777" w:rsidR="00AD4D74" w:rsidRDefault="00AD4D74" w:rsidP="007D25A9">
      <w:pPr>
        <w:rPr>
          <w:rFonts w:ascii="Arial" w:hAnsi="Arial" w:cs="Arial"/>
          <w:b/>
          <w:bCs/>
          <w:color w:val="3A93C6"/>
          <w:sz w:val="24"/>
        </w:rPr>
      </w:pPr>
    </w:p>
    <w:p w14:paraId="7DFA8EC9" w14:textId="77777777" w:rsidR="00AD4D74" w:rsidRDefault="00AD4D74" w:rsidP="007D25A9">
      <w:pPr>
        <w:rPr>
          <w:rFonts w:ascii="Arial" w:hAnsi="Arial" w:cs="Arial"/>
          <w:b/>
          <w:bCs/>
          <w:color w:val="3A93C6"/>
          <w:sz w:val="24"/>
        </w:rPr>
      </w:pPr>
    </w:p>
    <w:p w14:paraId="3775F70B" w14:textId="77777777" w:rsidR="00AD4D74" w:rsidRDefault="00AD4D74" w:rsidP="007D25A9">
      <w:pPr>
        <w:rPr>
          <w:rFonts w:ascii="Arial" w:hAnsi="Arial" w:cs="Arial"/>
          <w:b/>
          <w:bCs/>
          <w:color w:val="3A93C6"/>
          <w:sz w:val="24"/>
        </w:rPr>
      </w:pPr>
    </w:p>
    <w:p w14:paraId="00AFA7A7" w14:textId="77777777" w:rsidR="00AD4D74" w:rsidRDefault="00AD4D74" w:rsidP="007D25A9">
      <w:pPr>
        <w:rPr>
          <w:rFonts w:ascii="Arial" w:hAnsi="Arial" w:cs="Arial"/>
          <w:b/>
          <w:bCs/>
          <w:color w:val="3A93C6"/>
          <w:sz w:val="24"/>
        </w:rPr>
      </w:pPr>
    </w:p>
    <w:p w14:paraId="635E6530" w14:textId="77777777" w:rsidR="00AD4D74" w:rsidRDefault="00AD4D74" w:rsidP="007D25A9">
      <w:pPr>
        <w:rPr>
          <w:rFonts w:ascii="Arial" w:hAnsi="Arial" w:cs="Arial"/>
          <w:b/>
          <w:bCs/>
          <w:color w:val="3A93C6"/>
          <w:sz w:val="24"/>
        </w:rPr>
      </w:pPr>
    </w:p>
    <w:p w14:paraId="00BD4746" w14:textId="77777777" w:rsidR="00AD4D74" w:rsidRDefault="00AD4D74" w:rsidP="007D25A9">
      <w:pPr>
        <w:rPr>
          <w:rFonts w:ascii="Arial" w:hAnsi="Arial" w:cs="Arial"/>
          <w:b/>
          <w:bCs/>
          <w:color w:val="3A93C6"/>
          <w:sz w:val="24"/>
        </w:rPr>
      </w:pPr>
    </w:p>
    <w:p w14:paraId="2CBE5C3C" w14:textId="77777777" w:rsidR="00AD4D74" w:rsidRDefault="00AD4D74" w:rsidP="007D25A9">
      <w:pPr>
        <w:rPr>
          <w:rFonts w:ascii="Arial" w:hAnsi="Arial" w:cs="Arial"/>
          <w:b/>
          <w:bCs/>
          <w:color w:val="3A93C6"/>
          <w:sz w:val="24"/>
        </w:rPr>
      </w:pPr>
    </w:p>
    <w:p w14:paraId="7F68BFF3" w14:textId="489B4D65" w:rsidR="00AD4D74" w:rsidRPr="000E710F" w:rsidRDefault="00AD4D74" w:rsidP="007D25A9">
      <w:pPr>
        <w:jc w:val="center"/>
        <w:rPr>
          <w:rFonts w:ascii="Arial" w:hAnsi="Arial" w:cs="Arial"/>
          <w:b/>
          <w:bCs/>
          <w:color w:val="0070C0"/>
          <w:sz w:val="52"/>
          <w:szCs w:val="52"/>
        </w:rPr>
      </w:pPr>
      <w:r>
        <w:rPr>
          <w:rFonts w:ascii="Arial" w:hAnsi="Arial" w:cs="Arial"/>
          <w:b/>
          <w:bCs/>
          <w:color w:val="0070C0"/>
          <w:sz w:val="52"/>
          <w:szCs w:val="52"/>
        </w:rPr>
        <w:t>Progress Update</w:t>
      </w:r>
    </w:p>
    <w:p w14:paraId="7D38AEB7" w14:textId="77777777" w:rsidR="00AD4D74" w:rsidRDefault="00AD4D74" w:rsidP="007D25A9">
      <w:pPr>
        <w:rPr>
          <w:rFonts w:ascii="Arial" w:hAnsi="Arial" w:cs="Arial"/>
          <w:b/>
          <w:bCs/>
          <w:color w:val="3A93C6"/>
          <w:sz w:val="24"/>
        </w:rPr>
      </w:pPr>
    </w:p>
    <w:p w14:paraId="729BBEED" w14:textId="77777777" w:rsidR="00AD4D74" w:rsidRDefault="00AD4D74" w:rsidP="007D25A9">
      <w:pPr>
        <w:rPr>
          <w:rFonts w:ascii="Arial" w:hAnsi="Arial" w:cs="Arial"/>
          <w:b/>
          <w:bCs/>
          <w:color w:val="3A93C6"/>
          <w:sz w:val="24"/>
        </w:rPr>
      </w:pPr>
    </w:p>
    <w:p w14:paraId="65A599D6" w14:textId="6C3D2C9E" w:rsidR="00AD4D74" w:rsidRDefault="00AD4D74" w:rsidP="007D25A9">
      <w:pPr>
        <w:rPr>
          <w:rFonts w:ascii="Arial" w:hAnsi="Arial" w:cs="Arial"/>
          <w:b/>
          <w:bCs/>
          <w:color w:val="3A93C6"/>
          <w:sz w:val="24"/>
        </w:rPr>
      </w:pPr>
    </w:p>
    <w:p w14:paraId="01E59B5E" w14:textId="60862343" w:rsidR="00AD4D74" w:rsidRDefault="00AD4D74" w:rsidP="007D25A9">
      <w:pPr>
        <w:rPr>
          <w:rFonts w:ascii="Arial" w:hAnsi="Arial" w:cs="Arial"/>
          <w:b/>
          <w:bCs/>
          <w:color w:val="3A93C6"/>
          <w:sz w:val="24"/>
        </w:rPr>
      </w:pPr>
    </w:p>
    <w:p w14:paraId="1503B170" w14:textId="49BAD5FA" w:rsidR="00AD4D74" w:rsidRDefault="00AD4D74" w:rsidP="007D25A9">
      <w:pPr>
        <w:rPr>
          <w:rFonts w:ascii="Arial" w:hAnsi="Arial" w:cs="Arial"/>
          <w:b/>
          <w:bCs/>
          <w:color w:val="3A93C6"/>
          <w:sz w:val="24"/>
        </w:rPr>
      </w:pPr>
    </w:p>
    <w:p w14:paraId="1FAFABD1" w14:textId="315F3C28" w:rsidR="00AD4D74" w:rsidRDefault="00AD4D74" w:rsidP="007D25A9">
      <w:pPr>
        <w:rPr>
          <w:rFonts w:ascii="Arial" w:hAnsi="Arial" w:cs="Arial"/>
          <w:b/>
          <w:bCs/>
          <w:color w:val="3A93C6"/>
          <w:sz w:val="24"/>
        </w:rPr>
      </w:pPr>
    </w:p>
    <w:p w14:paraId="2D938C18" w14:textId="10724C17" w:rsidR="00AD4D74" w:rsidRDefault="00AD4D74" w:rsidP="007D25A9">
      <w:pPr>
        <w:rPr>
          <w:rFonts w:ascii="Arial" w:hAnsi="Arial" w:cs="Arial"/>
          <w:b/>
          <w:bCs/>
          <w:color w:val="3A93C6"/>
          <w:sz w:val="24"/>
        </w:rPr>
      </w:pPr>
    </w:p>
    <w:p w14:paraId="0BDDB9E4" w14:textId="6FB784B9" w:rsidR="00AD4D74" w:rsidRDefault="00AD4D74" w:rsidP="007D25A9">
      <w:pPr>
        <w:rPr>
          <w:rFonts w:ascii="Arial" w:hAnsi="Arial" w:cs="Arial"/>
          <w:b/>
          <w:bCs/>
          <w:color w:val="3A93C6"/>
          <w:sz w:val="24"/>
        </w:rPr>
      </w:pPr>
    </w:p>
    <w:p w14:paraId="6E6BB25A" w14:textId="34A61E5B" w:rsidR="00AD4D74" w:rsidRDefault="00AD4D74" w:rsidP="007D25A9">
      <w:pPr>
        <w:rPr>
          <w:rFonts w:ascii="Arial" w:hAnsi="Arial" w:cs="Arial"/>
          <w:b/>
          <w:bCs/>
          <w:color w:val="3A93C6"/>
          <w:sz w:val="24"/>
        </w:rPr>
      </w:pPr>
    </w:p>
    <w:p w14:paraId="63E7660B" w14:textId="3F429DCC" w:rsidR="00AD4D74" w:rsidRDefault="00AD4D74" w:rsidP="007D25A9">
      <w:pPr>
        <w:rPr>
          <w:rFonts w:ascii="Arial" w:hAnsi="Arial" w:cs="Arial"/>
          <w:b/>
          <w:bCs/>
          <w:color w:val="3A93C6"/>
          <w:sz w:val="24"/>
        </w:rPr>
      </w:pPr>
    </w:p>
    <w:p w14:paraId="3F29EC1F" w14:textId="465425BF" w:rsidR="00AD4D74" w:rsidRDefault="00AD4D74" w:rsidP="007D25A9">
      <w:pPr>
        <w:rPr>
          <w:rFonts w:ascii="Arial" w:hAnsi="Arial" w:cs="Arial"/>
          <w:b/>
          <w:bCs/>
          <w:color w:val="3A93C6"/>
          <w:sz w:val="24"/>
        </w:rPr>
      </w:pPr>
    </w:p>
    <w:p w14:paraId="2538EAFA" w14:textId="139B4374" w:rsidR="00AD4D74" w:rsidRDefault="00AD4D74" w:rsidP="007D25A9">
      <w:pPr>
        <w:rPr>
          <w:rFonts w:ascii="Arial" w:hAnsi="Arial" w:cs="Arial"/>
          <w:b/>
          <w:bCs/>
          <w:color w:val="3A93C6"/>
          <w:sz w:val="24"/>
        </w:rPr>
      </w:pPr>
    </w:p>
    <w:p w14:paraId="46776952" w14:textId="6E1040C2" w:rsidR="00AD4D74" w:rsidRDefault="00AD4D74" w:rsidP="007D25A9">
      <w:pPr>
        <w:rPr>
          <w:rFonts w:ascii="Arial" w:hAnsi="Arial" w:cs="Arial"/>
          <w:b/>
          <w:bCs/>
          <w:color w:val="3A93C6"/>
          <w:sz w:val="24"/>
        </w:rPr>
      </w:pPr>
    </w:p>
    <w:p w14:paraId="6438A5CA" w14:textId="4B5F6708" w:rsidR="00AD4D74" w:rsidRDefault="00AD4D74" w:rsidP="007D25A9">
      <w:pPr>
        <w:jc w:val="center"/>
        <w:rPr>
          <w:rFonts w:ascii="Arial" w:eastAsia="Calibri" w:hAnsi="Arial" w:cs="Arial"/>
          <w:b/>
          <w:bCs/>
          <w:color w:val="3A93C6"/>
          <w:sz w:val="24"/>
          <w:u w:color="000000"/>
          <w:bdr w:val="nil"/>
          <w:lang w:eastAsia="zh-CN"/>
        </w:rPr>
        <w:sectPr w:rsidR="00AD4D74" w:rsidSect="00CC44A2">
          <w:headerReference w:type="even" r:id="rId12"/>
          <w:headerReference w:type="default" r:id="rId13"/>
          <w:footerReference w:type="even" r:id="rId14"/>
          <w:footerReference w:type="default" r:id="rId15"/>
          <w:headerReference w:type="first" r:id="rId16"/>
          <w:footerReference w:type="first" r:id="rId17"/>
          <w:pgSz w:w="11909" w:h="16834" w:code="9"/>
          <w:pgMar w:top="1080" w:right="851" w:bottom="1134" w:left="1440" w:header="708" w:footer="708" w:gutter="0"/>
          <w:cols w:space="708"/>
          <w:titlePg/>
          <w:docGrid w:linePitch="360"/>
        </w:sectPr>
      </w:pPr>
      <w:r w:rsidRPr="00720EAF">
        <w:rPr>
          <w:rFonts w:ascii="Arial" w:eastAsia="Cambria" w:hAnsi="Arial" w:cs="Arial"/>
          <w:b/>
          <w:szCs w:val="20"/>
        </w:rPr>
        <w:t xml:space="preserve">For Information  </w:t>
      </w:r>
      <w:r>
        <w:rPr>
          <w:rFonts w:ascii="Arial" w:eastAsia="Cambria" w:hAnsi="Arial" w:cs="Arial"/>
          <w:b/>
          <w:szCs w:val="20"/>
        </w:rPr>
        <w:fldChar w:fldCharType="begin">
          <w:ffData>
            <w:name w:val="Check4"/>
            <w:enabled/>
            <w:calcOnExit w:val="0"/>
            <w:checkBox>
              <w:sizeAuto/>
              <w:default w:val="1"/>
            </w:checkBox>
          </w:ffData>
        </w:fldChar>
      </w:r>
      <w:bookmarkStart w:id="0" w:name="Check4"/>
      <w:r>
        <w:rPr>
          <w:rFonts w:ascii="Arial" w:eastAsia="Cambria" w:hAnsi="Arial" w:cs="Arial"/>
          <w:b/>
          <w:szCs w:val="20"/>
        </w:rPr>
        <w:instrText xml:space="preserve"> FORMCHECKBOX </w:instrText>
      </w:r>
      <w:r w:rsidR="00000A1A">
        <w:rPr>
          <w:rFonts w:ascii="Arial" w:eastAsia="Cambria" w:hAnsi="Arial" w:cs="Arial"/>
          <w:b/>
          <w:szCs w:val="20"/>
        </w:rPr>
      </w:r>
      <w:r w:rsidR="00000A1A">
        <w:rPr>
          <w:rFonts w:ascii="Arial" w:eastAsia="Cambria" w:hAnsi="Arial" w:cs="Arial"/>
          <w:b/>
          <w:szCs w:val="20"/>
        </w:rPr>
        <w:fldChar w:fldCharType="separate"/>
      </w:r>
      <w:r>
        <w:rPr>
          <w:rFonts w:ascii="Arial" w:eastAsia="Cambria" w:hAnsi="Arial" w:cs="Arial"/>
          <w:b/>
          <w:szCs w:val="20"/>
        </w:rPr>
        <w:fldChar w:fldCharType="end"/>
      </w:r>
      <w:bookmarkEnd w:id="0"/>
      <w:r w:rsidRPr="00720EAF">
        <w:rPr>
          <w:rFonts w:ascii="Arial" w:eastAsia="Cambria" w:hAnsi="Arial" w:cs="Arial"/>
          <w:b/>
          <w:szCs w:val="20"/>
        </w:rPr>
        <w:t xml:space="preserve">    For Review &amp; Advice  </w:t>
      </w:r>
      <w:r>
        <w:rPr>
          <w:rFonts w:ascii="Arial" w:eastAsia="Cambria" w:hAnsi="Arial" w:cs="Arial"/>
          <w:b/>
          <w:szCs w:val="20"/>
        </w:rPr>
        <w:fldChar w:fldCharType="begin">
          <w:ffData>
            <w:name w:val="Check5"/>
            <w:enabled/>
            <w:calcOnExit w:val="0"/>
            <w:checkBox>
              <w:sizeAuto/>
              <w:default w:val="0"/>
            </w:checkBox>
          </w:ffData>
        </w:fldChar>
      </w:r>
      <w:bookmarkStart w:id="1" w:name="Check5"/>
      <w:r>
        <w:rPr>
          <w:rFonts w:ascii="Arial" w:eastAsia="Cambria" w:hAnsi="Arial" w:cs="Arial"/>
          <w:b/>
          <w:szCs w:val="20"/>
        </w:rPr>
        <w:instrText xml:space="preserve"> FORMCHECKBOX </w:instrText>
      </w:r>
      <w:r w:rsidR="00000A1A">
        <w:rPr>
          <w:rFonts w:ascii="Arial" w:eastAsia="Cambria" w:hAnsi="Arial" w:cs="Arial"/>
          <w:b/>
          <w:szCs w:val="20"/>
        </w:rPr>
      </w:r>
      <w:r w:rsidR="00000A1A">
        <w:rPr>
          <w:rFonts w:ascii="Arial" w:eastAsia="Cambria" w:hAnsi="Arial" w:cs="Arial"/>
          <w:b/>
          <w:szCs w:val="20"/>
        </w:rPr>
        <w:fldChar w:fldCharType="separate"/>
      </w:r>
      <w:r>
        <w:rPr>
          <w:rFonts w:ascii="Arial" w:eastAsia="Cambria" w:hAnsi="Arial" w:cs="Arial"/>
          <w:b/>
          <w:szCs w:val="20"/>
        </w:rPr>
        <w:fldChar w:fldCharType="end"/>
      </w:r>
      <w:bookmarkEnd w:id="1"/>
      <w:r w:rsidRPr="00720EAF">
        <w:rPr>
          <w:rFonts w:ascii="Arial" w:eastAsia="Cambria" w:hAnsi="Arial" w:cs="Arial"/>
          <w:b/>
          <w:szCs w:val="20"/>
        </w:rPr>
        <w:t xml:space="preserve">    </w:t>
      </w:r>
      <w:r w:rsidRPr="00720EAF">
        <w:rPr>
          <w:rFonts w:ascii="Arial" w:eastAsia="Cambria" w:hAnsi="Arial" w:cs="Arial"/>
          <w:szCs w:val="20"/>
        </w:rPr>
        <w:t xml:space="preserve"> </w:t>
      </w:r>
      <w:r w:rsidRPr="00720EAF">
        <w:rPr>
          <w:rFonts w:ascii="Arial" w:eastAsia="Cambria" w:hAnsi="Arial" w:cs="Arial"/>
          <w:b/>
          <w:szCs w:val="20"/>
        </w:rPr>
        <w:t>For Approval</w:t>
      </w:r>
      <w:r w:rsidRPr="00720EAF">
        <w:rPr>
          <w:rFonts w:ascii="Arial" w:eastAsia="Cambria" w:hAnsi="Arial" w:cs="Arial"/>
          <w:szCs w:val="20"/>
        </w:rPr>
        <w:t xml:space="preserve">  </w:t>
      </w:r>
      <w:r>
        <w:rPr>
          <w:rFonts w:ascii="Arial" w:eastAsia="Cambria" w:hAnsi="Arial" w:cs="Arial"/>
          <w:szCs w:val="20"/>
        </w:rPr>
        <w:fldChar w:fldCharType="begin">
          <w:ffData>
            <w:name w:val="Check3"/>
            <w:enabled/>
            <w:calcOnExit w:val="0"/>
            <w:checkBox>
              <w:sizeAuto/>
              <w:default w:val="0"/>
            </w:checkBox>
          </w:ffData>
        </w:fldChar>
      </w:r>
      <w:bookmarkStart w:id="2" w:name="Check3"/>
      <w:r>
        <w:rPr>
          <w:rFonts w:ascii="Arial" w:eastAsia="Cambria" w:hAnsi="Arial" w:cs="Arial"/>
          <w:szCs w:val="20"/>
        </w:rPr>
        <w:instrText xml:space="preserve"> FORMCHECKBOX </w:instrText>
      </w:r>
      <w:r w:rsidR="00000A1A">
        <w:rPr>
          <w:rFonts w:ascii="Arial" w:eastAsia="Cambria" w:hAnsi="Arial" w:cs="Arial"/>
          <w:szCs w:val="20"/>
        </w:rPr>
      </w:r>
      <w:r w:rsidR="00000A1A">
        <w:rPr>
          <w:rFonts w:ascii="Arial" w:eastAsia="Cambria" w:hAnsi="Arial" w:cs="Arial"/>
          <w:szCs w:val="20"/>
        </w:rPr>
        <w:fldChar w:fldCharType="separate"/>
      </w:r>
      <w:r>
        <w:rPr>
          <w:rFonts w:ascii="Arial" w:eastAsia="Cambria" w:hAnsi="Arial" w:cs="Arial"/>
          <w:szCs w:val="20"/>
        </w:rPr>
        <w:fldChar w:fldCharType="end"/>
      </w:r>
      <w:bookmarkEnd w:id="2"/>
    </w:p>
    <w:tbl>
      <w:tblPr>
        <w:tblStyle w:val="TableGrid"/>
        <w:tblW w:w="14845" w:type="dxa"/>
        <w:tblLook w:val="04A0" w:firstRow="1" w:lastRow="0" w:firstColumn="1" w:lastColumn="0" w:noHBand="0" w:noVBand="1"/>
      </w:tblPr>
      <w:tblGrid>
        <w:gridCol w:w="2224"/>
        <w:gridCol w:w="2965"/>
        <w:gridCol w:w="9656"/>
      </w:tblGrid>
      <w:tr w:rsidR="00E95A93" w:rsidRPr="00004D0E" w14:paraId="1A8C9BDF" w14:textId="77777777" w:rsidTr="001F16B4">
        <w:trPr>
          <w:tblHeader/>
        </w:trPr>
        <w:tc>
          <w:tcPr>
            <w:tcW w:w="0" w:type="auto"/>
            <w:shd w:val="clear" w:color="auto" w:fill="00B0F0"/>
          </w:tcPr>
          <w:p w14:paraId="053E191A" w14:textId="5B08C4E8" w:rsidR="00E95A93" w:rsidRPr="00004D0E" w:rsidRDefault="00E95A93" w:rsidP="00A315B8">
            <w:pPr>
              <w:ind w:left="432"/>
              <w:rPr>
                <w:b/>
                <w:sz w:val="24"/>
              </w:rPr>
            </w:pPr>
            <w:r w:rsidRPr="00004D0E">
              <w:rPr>
                <w:b/>
                <w:sz w:val="24"/>
              </w:rPr>
              <w:lastRenderedPageBreak/>
              <w:t>Results Areas</w:t>
            </w:r>
            <w:r>
              <w:rPr>
                <w:b/>
                <w:sz w:val="24"/>
              </w:rPr>
              <w:t xml:space="preserve"> </w:t>
            </w:r>
          </w:p>
        </w:tc>
        <w:tc>
          <w:tcPr>
            <w:tcW w:w="2965" w:type="dxa"/>
            <w:shd w:val="clear" w:color="auto" w:fill="00B0F0"/>
          </w:tcPr>
          <w:p w14:paraId="3A55A11C" w14:textId="55B27708" w:rsidR="00E95A93" w:rsidRPr="00E95A93" w:rsidRDefault="00A315B8" w:rsidP="00E95A93">
            <w:pPr>
              <w:ind w:left="432"/>
              <w:rPr>
                <w:b/>
                <w:sz w:val="24"/>
              </w:rPr>
            </w:pPr>
            <w:r>
              <w:rPr>
                <w:b/>
                <w:sz w:val="24"/>
              </w:rPr>
              <w:t>S</w:t>
            </w:r>
            <w:r w:rsidR="00E95A93" w:rsidRPr="00E95A93">
              <w:rPr>
                <w:b/>
                <w:sz w:val="24"/>
              </w:rPr>
              <w:t>uccess criteria</w:t>
            </w:r>
          </w:p>
        </w:tc>
        <w:tc>
          <w:tcPr>
            <w:tcW w:w="9656" w:type="dxa"/>
            <w:shd w:val="clear" w:color="auto" w:fill="00B0F0"/>
          </w:tcPr>
          <w:p w14:paraId="02127E86" w14:textId="77777777" w:rsidR="00E95A93" w:rsidRPr="00004D0E" w:rsidRDefault="00E95A93" w:rsidP="00E95A93">
            <w:pPr>
              <w:rPr>
                <w:b/>
                <w:sz w:val="24"/>
              </w:rPr>
            </w:pPr>
            <w:r w:rsidRPr="00004D0E">
              <w:rPr>
                <w:b/>
                <w:sz w:val="24"/>
              </w:rPr>
              <w:t xml:space="preserve">Progress update </w:t>
            </w:r>
            <w:r>
              <w:rPr>
                <w:b/>
                <w:sz w:val="24"/>
              </w:rPr>
              <w:t>2020</w:t>
            </w:r>
          </w:p>
        </w:tc>
      </w:tr>
      <w:tr w:rsidR="00E95A93" w:rsidRPr="006019DB" w14:paraId="1F517B47" w14:textId="77777777" w:rsidTr="001F16B4">
        <w:tc>
          <w:tcPr>
            <w:tcW w:w="14845" w:type="dxa"/>
            <w:gridSpan w:val="3"/>
          </w:tcPr>
          <w:p w14:paraId="1F446E8B" w14:textId="3A9A3927" w:rsidR="00E95A93" w:rsidRPr="006019DB" w:rsidRDefault="00E95A93" w:rsidP="00E95A93">
            <w:pPr>
              <w:ind w:left="432"/>
              <w:rPr>
                <w:b/>
                <w:i/>
                <w:u w:val="single"/>
              </w:rPr>
            </w:pPr>
            <w:r w:rsidRPr="006019DB">
              <w:rPr>
                <w:rFonts w:ascii="Arial" w:hAnsi="Arial" w:cs="Arial"/>
                <w:b/>
                <w:i/>
                <w:lang w:val="en-GB"/>
              </w:rPr>
              <w:t>Output 1: VOICES – Stronger and more coherent global and country voices for UHC</w:t>
            </w:r>
          </w:p>
        </w:tc>
      </w:tr>
      <w:tr w:rsidR="00E95A93" w:rsidRPr="003F6E37" w14:paraId="1F2E90A4" w14:textId="77777777" w:rsidTr="001F16B4">
        <w:tc>
          <w:tcPr>
            <w:tcW w:w="0" w:type="auto"/>
          </w:tcPr>
          <w:p w14:paraId="13F30FCA" w14:textId="77777777" w:rsidR="00E95A93" w:rsidRDefault="00E95A93" w:rsidP="001F16B4">
            <w:pPr>
              <w:pStyle w:val="ListParagraph"/>
              <w:numPr>
                <w:ilvl w:val="1"/>
                <w:numId w:val="3"/>
              </w:numPr>
              <w:ind w:left="432"/>
              <w:rPr>
                <w:b/>
                <w:color w:val="002060"/>
                <w:sz w:val="24"/>
              </w:rPr>
            </w:pPr>
            <w:r w:rsidRPr="00F04152">
              <w:rPr>
                <w:b/>
                <w:color w:val="002060"/>
                <w:sz w:val="24"/>
              </w:rPr>
              <w:t>Political momentum</w:t>
            </w:r>
          </w:p>
          <w:p w14:paraId="6EB16650" w14:textId="77777777" w:rsidR="00E95A93" w:rsidRPr="00F04152" w:rsidRDefault="00E95A93" w:rsidP="00E95A93">
            <w:pPr>
              <w:pStyle w:val="ListParagraph"/>
              <w:ind w:left="432"/>
              <w:rPr>
                <w:b/>
                <w:color w:val="002060"/>
                <w:sz w:val="24"/>
              </w:rPr>
            </w:pPr>
          </w:p>
          <w:p w14:paraId="26AEF22A" w14:textId="77777777" w:rsidR="00E95A93" w:rsidRDefault="00E95A93" w:rsidP="00E95A93">
            <w:pPr>
              <w:spacing w:after="80"/>
              <w:ind w:left="432"/>
              <w:rPr>
                <w:rFonts w:ascii="Arial" w:hAnsi="Arial" w:cs="Arial"/>
                <w:sz w:val="20"/>
                <w:szCs w:val="20"/>
                <w:lang w:val="en-GB"/>
              </w:rPr>
            </w:pPr>
            <w:r>
              <w:rPr>
                <w:rFonts w:ascii="Arial" w:hAnsi="Arial" w:cs="Arial"/>
                <w:sz w:val="20"/>
                <w:szCs w:val="20"/>
                <w:lang w:val="en-GB"/>
              </w:rPr>
              <w:t>Sustain and leverage political momentum for UHC</w:t>
            </w:r>
          </w:p>
          <w:p w14:paraId="208D0CB4" w14:textId="77777777" w:rsidR="00E95A93" w:rsidRPr="00F04152" w:rsidRDefault="00E95A93" w:rsidP="00E95A93">
            <w:pPr>
              <w:ind w:left="432"/>
              <w:rPr>
                <w:b/>
                <w:sz w:val="24"/>
                <w:lang w:val="en-GB"/>
              </w:rPr>
            </w:pPr>
          </w:p>
        </w:tc>
        <w:tc>
          <w:tcPr>
            <w:tcW w:w="2965" w:type="dxa"/>
          </w:tcPr>
          <w:p w14:paraId="5E2D07E4" w14:textId="77777777" w:rsidR="00E95A93" w:rsidRPr="006019DB" w:rsidRDefault="00E95A93" w:rsidP="00E95A93">
            <w:pPr>
              <w:tabs>
                <w:tab w:val="num" w:pos="720"/>
              </w:tabs>
              <w:spacing w:after="120"/>
              <w:ind w:left="432"/>
              <w:rPr>
                <w:i/>
              </w:rPr>
            </w:pPr>
          </w:p>
          <w:p w14:paraId="0094A001" w14:textId="77777777" w:rsidR="00E95A93" w:rsidRPr="006019DB" w:rsidRDefault="00E95A93" w:rsidP="00E95A93">
            <w:pPr>
              <w:spacing w:after="80"/>
              <w:ind w:left="432" w:hanging="216"/>
              <w:rPr>
                <w:rFonts w:ascii="Arial" w:hAnsi="Arial" w:cs="Arial"/>
                <w:i/>
                <w:sz w:val="20"/>
                <w:szCs w:val="20"/>
                <w:lang w:val="en-GB"/>
              </w:rPr>
            </w:pPr>
            <w:r w:rsidRPr="006019DB">
              <w:rPr>
                <w:rFonts w:ascii="Arial" w:hAnsi="Arial" w:cs="Arial"/>
                <w:i/>
                <w:sz w:val="20"/>
                <w:szCs w:val="20"/>
                <w:lang w:val="en-GB"/>
              </w:rPr>
              <w:t>- UHC2030 members and stakeholders champion political declaration outcomes/commitments in relation to the key asks.</w:t>
            </w:r>
          </w:p>
          <w:p w14:paraId="60CB0899" w14:textId="77777777" w:rsidR="00E95A93" w:rsidRPr="006019DB" w:rsidRDefault="00E95A93" w:rsidP="00E95A93">
            <w:pPr>
              <w:tabs>
                <w:tab w:val="num" w:pos="720"/>
              </w:tabs>
              <w:spacing w:after="120"/>
              <w:ind w:left="432" w:hanging="216"/>
              <w:rPr>
                <w:i/>
                <w:lang w:val="en-GB"/>
              </w:rPr>
            </w:pPr>
            <w:r w:rsidRPr="006019DB">
              <w:rPr>
                <w:rFonts w:ascii="Arial" w:hAnsi="Arial" w:cs="Arial"/>
                <w:i/>
                <w:sz w:val="20"/>
                <w:szCs w:val="20"/>
                <w:lang w:val="en-GB"/>
              </w:rPr>
              <w:t>- References to UHC in outcome documents of relevant political and economic forums.</w:t>
            </w:r>
          </w:p>
        </w:tc>
        <w:tc>
          <w:tcPr>
            <w:tcW w:w="9656" w:type="dxa"/>
          </w:tcPr>
          <w:p w14:paraId="6815C54D" w14:textId="77777777" w:rsidR="00E95A93" w:rsidRPr="00882FCC" w:rsidRDefault="00E95A93" w:rsidP="00E95A93">
            <w:pPr>
              <w:rPr>
                <w:u w:val="single"/>
              </w:rPr>
            </w:pPr>
            <w:r w:rsidRPr="00B6603C">
              <w:rPr>
                <w:b/>
                <w:u w:val="single"/>
              </w:rPr>
              <w:t>Progress:</w:t>
            </w:r>
            <w:r w:rsidRPr="005A74AF">
              <w:rPr>
                <w:b/>
              </w:rPr>
              <w:t xml:space="preserve"> </w:t>
            </w:r>
            <w:r w:rsidRPr="00882FCC">
              <w:rPr>
                <w:b/>
              </w:rPr>
              <w:t>On track</w:t>
            </w:r>
            <w:r>
              <w:rPr>
                <w:b/>
              </w:rPr>
              <w:t xml:space="preserve"> -</w:t>
            </w:r>
            <w:r w:rsidRPr="00882FCC">
              <w:rPr>
                <w:b/>
              </w:rPr>
              <w:t xml:space="preserve"> UHC2030 </w:t>
            </w:r>
            <w:proofErr w:type="spellStart"/>
            <w:r w:rsidRPr="00882FCC">
              <w:rPr>
                <w:b/>
              </w:rPr>
              <w:t>mobilised</w:t>
            </w:r>
            <w:proofErr w:type="spellEnd"/>
            <w:r w:rsidRPr="00882FCC">
              <w:rPr>
                <w:b/>
              </w:rPr>
              <w:t xml:space="preserve"> political leadership for UHC and provided the first ever</w:t>
            </w:r>
            <w:r>
              <w:rPr>
                <w:b/>
              </w:rPr>
              <w:t xml:space="preserve"> country profiles and</w:t>
            </w:r>
            <w:r w:rsidRPr="00882FCC">
              <w:rPr>
                <w:b/>
              </w:rPr>
              <w:t xml:space="preserve"> synthesis of progress on political commitments for UHC</w:t>
            </w:r>
            <w:r>
              <w:rPr>
                <w:b/>
              </w:rPr>
              <w:t xml:space="preserve"> </w:t>
            </w:r>
          </w:p>
          <w:p w14:paraId="32B0C7D7" w14:textId="77777777" w:rsidR="001F16B4" w:rsidRDefault="00E95A93" w:rsidP="001F16B4">
            <w:pPr>
              <w:pStyle w:val="ListParagraph"/>
              <w:numPr>
                <w:ilvl w:val="0"/>
                <w:numId w:val="1"/>
              </w:numPr>
            </w:pPr>
            <w:r w:rsidRPr="001F16B4">
              <w:rPr>
                <w:b/>
              </w:rPr>
              <w:t xml:space="preserve">State of UHC Commitment review (i.e. synthesis and 193 country profiles) launched ahead of UHC Day and drew on findings of a </w:t>
            </w:r>
            <w:proofErr w:type="spellStart"/>
            <w:r w:rsidRPr="001F16B4">
              <w:rPr>
                <w:b/>
              </w:rPr>
              <w:t>multistakeholder</w:t>
            </w:r>
            <w:proofErr w:type="spellEnd"/>
            <w:r w:rsidRPr="001F16B4">
              <w:rPr>
                <w:b/>
              </w:rPr>
              <w:t xml:space="preserve"> survey and country consultations with civil society representatives</w:t>
            </w:r>
            <w:r w:rsidRPr="001F16B4">
              <w:t xml:space="preserve">. Findings and political messages against commitments of the Political Declaration in line with the Key Asks areas promoted and used during UHC Day campaigns, including UHC2030/PMNCH summit on Lives in the Balance. Country profiles promoted by the EMRO regional director with ministers on UHC Day. </w:t>
            </w:r>
          </w:p>
          <w:p w14:paraId="31468417" w14:textId="77777777" w:rsidR="001F16B4" w:rsidRDefault="00E95A93" w:rsidP="001F16B4">
            <w:pPr>
              <w:pStyle w:val="ListParagraph"/>
              <w:numPr>
                <w:ilvl w:val="0"/>
                <w:numId w:val="1"/>
              </w:numPr>
            </w:pPr>
            <w:r w:rsidRPr="001F16B4">
              <w:rPr>
                <w:b/>
              </w:rPr>
              <w:t>UHC political advisory panel mobilized</w:t>
            </w:r>
            <w:r w:rsidRPr="001F16B4">
              <w:t xml:space="preserve">. The panel provided high level guidance and conveyed UHC2030’s messages for political leaders – e.g. advice on HLM follow-up, consultation for the </w:t>
            </w:r>
            <w:hyperlink r:id="rId18" w:history="1">
              <w:r w:rsidRPr="001F16B4">
                <w:rPr>
                  <w:rStyle w:val="Hyperlink"/>
                </w:rPr>
                <w:t>Co-Chairs’ Statement on UHC and Covid-19</w:t>
              </w:r>
            </w:hyperlink>
            <w:r w:rsidRPr="001F16B4">
              <w:t xml:space="preserve">, comment/reaction to the discussion paper on emergencies and UHC, and </w:t>
            </w:r>
            <w:hyperlink r:id="rId19" w:history="1">
              <w:r w:rsidRPr="001F16B4">
                <w:rPr>
                  <w:rStyle w:val="Hyperlink"/>
                </w:rPr>
                <w:t>messages in the State of UHC Commitment</w:t>
              </w:r>
            </w:hyperlink>
            <w:r w:rsidRPr="001F16B4">
              <w:t xml:space="preserve">. </w:t>
            </w:r>
          </w:p>
          <w:p w14:paraId="20CACD31" w14:textId="06316D9B" w:rsidR="00E95A93" w:rsidRPr="001F16B4" w:rsidRDefault="00E95A93" w:rsidP="001F16B4">
            <w:pPr>
              <w:pStyle w:val="ListParagraph"/>
              <w:numPr>
                <w:ilvl w:val="0"/>
                <w:numId w:val="1"/>
              </w:numPr>
            </w:pPr>
            <w:r w:rsidRPr="001F16B4">
              <w:rPr>
                <w:rFonts w:cstheme="minorHAnsi"/>
                <w:b/>
              </w:rPr>
              <w:t>UHC2030 key messages on UHC and health emergencies</w:t>
            </w:r>
            <w:r w:rsidRPr="001F16B4">
              <w:rPr>
                <w:rFonts w:cstheme="minorHAnsi"/>
              </w:rPr>
              <w:t xml:space="preserve"> </w:t>
            </w:r>
            <w:r w:rsidRPr="001F16B4">
              <w:rPr>
                <w:rFonts w:cstheme="minorHAnsi"/>
                <w:b/>
              </w:rPr>
              <w:t>promoted</w:t>
            </w:r>
            <w:r w:rsidRPr="001F16B4">
              <w:rPr>
                <w:rFonts w:cstheme="minorHAnsi"/>
              </w:rPr>
              <w:t xml:space="preserve"> around meetings of G7, G20, World Health Assembly and influenced the </w:t>
            </w:r>
            <w:hyperlink r:id="rId20" w:history="1">
              <w:r w:rsidRPr="001F16B4">
                <w:rPr>
                  <w:rStyle w:val="Hyperlink"/>
                  <w:rFonts w:cstheme="minorHAnsi"/>
                </w:rPr>
                <w:t>UN SG policy brief</w:t>
              </w:r>
            </w:hyperlink>
            <w:r w:rsidRPr="001F16B4">
              <w:rPr>
                <w:rFonts w:cstheme="minorHAnsi"/>
              </w:rPr>
              <w:t xml:space="preserve"> and </w:t>
            </w:r>
            <w:hyperlink r:id="rId21" w:history="1">
              <w:r w:rsidRPr="001F16B4">
                <w:rPr>
                  <w:rStyle w:val="Hyperlink"/>
                  <w:rFonts w:cstheme="minorHAnsi"/>
                </w:rPr>
                <w:t>interim progress report on UN HLM</w:t>
              </w:r>
            </w:hyperlink>
            <w:r w:rsidRPr="001F16B4">
              <w:rPr>
                <w:rFonts w:cstheme="minorHAnsi"/>
              </w:rPr>
              <w:t xml:space="preserve">.  </w:t>
            </w:r>
            <w:r w:rsidRPr="001F16B4">
              <w:rPr>
                <w:rFonts w:cstheme="minorHAnsi"/>
                <w:color w:val="555555"/>
                <w:shd w:val="clear" w:color="auto" w:fill="FFFFFF"/>
              </w:rPr>
              <w:t xml:space="preserve">One Year Commemoration of the UN HLM event during UNGA with the Group of Friends for UHC mobilized 650 participants, with ministers emphasizing the importance of re-affirming the commitment to UHC in the face of the COVID-19 pandemic. </w:t>
            </w:r>
            <w:r w:rsidRPr="001F16B4">
              <w:rPr>
                <w:b/>
              </w:rPr>
              <w:t>Advocacy with parliaments</w:t>
            </w:r>
            <w:r w:rsidRPr="001F16B4">
              <w:t xml:space="preserve">: Worked with the Inter-Parliamentary Union (IPU) Health Advisory Group to prepare calls for parliamentary action in response to the pandemic, including a   </w:t>
            </w:r>
            <w:hyperlink r:id="rId22" w:history="1">
              <w:proofErr w:type="spellStart"/>
              <w:r w:rsidRPr="001F16B4">
                <w:rPr>
                  <w:rStyle w:val="Hyperlink"/>
                </w:rPr>
                <w:t>a</w:t>
              </w:r>
              <w:proofErr w:type="spellEnd"/>
              <w:r w:rsidRPr="001F16B4">
                <w:rPr>
                  <w:rStyle w:val="Hyperlink"/>
                </w:rPr>
                <w:t xml:space="preserve"> joint letter</w:t>
              </w:r>
            </w:hyperlink>
            <w:r w:rsidRPr="001F16B4">
              <w:t xml:space="preserve"> to presidents of parliaments from UHC2030 Co-Chairs and IPU President.</w:t>
            </w:r>
          </w:p>
        </w:tc>
      </w:tr>
      <w:tr w:rsidR="00E95A93" w:rsidRPr="003F6E37" w14:paraId="4ED32ABB" w14:textId="77777777" w:rsidTr="001F16B4">
        <w:tc>
          <w:tcPr>
            <w:tcW w:w="0" w:type="auto"/>
          </w:tcPr>
          <w:p w14:paraId="586FB420" w14:textId="77777777" w:rsidR="00E95A93" w:rsidRPr="00F04152" w:rsidRDefault="00E95A93" w:rsidP="001F16B4">
            <w:pPr>
              <w:pStyle w:val="ListParagraph"/>
              <w:numPr>
                <w:ilvl w:val="1"/>
                <w:numId w:val="3"/>
              </w:numPr>
              <w:ind w:left="432"/>
              <w:rPr>
                <w:b/>
                <w:sz w:val="24"/>
              </w:rPr>
            </w:pPr>
            <w:r w:rsidRPr="00F04152">
              <w:rPr>
                <w:b/>
                <w:sz w:val="24"/>
              </w:rPr>
              <w:t>Shared UHC goals</w:t>
            </w:r>
          </w:p>
          <w:p w14:paraId="505E1394" w14:textId="77777777" w:rsidR="00E95A93" w:rsidRDefault="00E95A93" w:rsidP="00E95A93">
            <w:pPr>
              <w:pStyle w:val="ListParagraph"/>
              <w:ind w:left="432"/>
              <w:rPr>
                <w:b/>
                <w:sz w:val="24"/>
              </w:rPr>
            </w:pPr>
          </w:p>
          <w:p w14:paraId="4421FA72" w14:textId="77777777" w:rsidR="00E95A93" w:rsidRDefault="00E95A93" w:rsidP="00E95A93">
            <w:pPr>
              <w:spacing w:after="80"/>
              <w:ind w:left="432"/>
              <w:rPr>
                <w:rFonts w:ascii="Arial" w:hAnsi="Arial" w:cs="Arial"/>
                <w:sz w:val="20"/>
                <w:szCs w:val="20"/>
                <w:lang w:val="en-GB"/>
              </w:rPr>
            </w:pPr>
            <w:r>
              <w:rPr>
                <w:rFonts w:ascii="Arial" w:hAnsi="Arial" w:cs="Arial"/>
                <w:sz w:val="20"/>
                <w:szCs w:val="20"/>
                <w:lang w:val="en-GB"/>
              </w:rPr>
              <w:t>Bring health and disease programmes and initiatives together to champion UHC goals</w:t>
            </w:r>
          </w:p>
          <w:p w14:paraId="6691AD8B" w14:textId="77777777" w:rsidR="00E95A93" w:rsidRPr="00F04152" w:rsidRDefault="00E95A93" w:rsidP="00E95A93">
            <w:pPr>
              <w:pStyle w:val="ListParagraph"/>
              <w:ind w:left="432"/>
              <w:rPr>
                <w:b/>
                <w:sz w:val="24"/>
                <w:lang w:val="en-GB"/>
              </w:rPr>
            </w:pPr>
          </w:p>
        </w:tc>
        <w:tc>
          <w:tcPr>
            <w:tcW w:w="2965" w:type="dxa"/>
          </w:tcPr>
          <w:p w14:paraId="7DBBAE4B" w14:textId="77777777" w:rsidR="00E95A93" w:rsidRDefault="00E95A93" w:rsidP="00E95A93">
            <w:pPr>
              <w:spacing w:after="80"/>
              <w:ind w:left="432" w:hanging="216"/>
              <w:rPr>
                <w:i/>
              </w:rPr>
            </w:pPr>
          </w:p>
          <w:p w14:paraId="241A7CAB" w14:textId="77777777" w:rsidR="00E95A93" w:rsidRPr="006019DB" w:rsidRDefault="00E95A93" w:rsidP="00E95A93">
            <w:pPr>
              <w:spacing w:after="80"/>
              <w:ind w:left="432" w:hanging="216"/>
              <w:rPr>
                <w:rFonts w:ascii="Arial" w:hAnsi="Arial" w:cs="Arial"/>
                <w:i/>
                <w:sz w:val="20"/>
                <w:szCs w:val="20"/>
                <w:lang w:val="en-GB"/>
              </w:rPr>
            </w:pPr>
            <w:r w:rsidRPr="006019DB">
              <w:rPr>
                <w:rFonts w:ascii="Arial" w:hAnsi="Arial" w:cs="Arial"/>
                <w:i/>
                <w:sz w:val="20"/>
                <w:szCs w:val="20"/>
                <w:lang w:val="en-GB"/>
              </w:rPr>
              <w:t>- Integrated accountability framework that aligns with SDG3 accountability and is applicable to all countries.</w:t>
            </w:r>
          </w:p>
          <w:p w14:paraId="272D64B2" w14:textId="77777777" w:rsidR="00E95A93" w:rsidRPr="006019DB" w:rsidRDefault="00E95A93" w:rsidP="00E95A93">
            <w:pPr>
              <w:spacing w:after="120"/>
              <w:ind w:left="432" w:hanging="216"/>
              <w:rPr>
                <w:i/>
                <w:lang w:val="en-GB"/>
              </w:rPr>
            </w:pPr>
            <w:r w:rsidRPr="006019DB">
              <w:rPr>
                <w:rFonts w:ascii="Arial" w:hAnsi="Arial" w:cs="Arial"/>
                <w:i/>
                <w:sz w:val="20"/>
                <w:szCs w:val="20"/>
                <w:lang w:val="en-GB"/>
              </w:rPr>
              <w:t>- Health and disease programmes/initiatives champion common UHC goals.</w:t>
            </w:r>
          </w:p>
        </w:tc>
        <w:tc>
          <w:tcPr>
            <w:tcW w:w="9656" w:type="dxa"/>
          </w:tcPr>
          <w:p w14:paraId="137CB976" w14:textId="2A372901" w:rsidR="00E95A93" w:rsidRPr="003F6E37" w:rsidRDefault="00E95A93" w:rsidP="00E95A93">
            <w:pPr>
              <w:rPr>
                <w:b/>
              </w:rPr>
            </w:pPr>
            <w:r>
              <w:rPr>
                <w:b/>
                <w:u w:val="single"/>
              </w:rPr>
              <w:t>Progres</w:t>
            </w:r>
            <w:r w:rsidRPr="00B402AA">
              <w:rPr>
                <w:b/>
                <w:u w:val="single"/>
              </w:rPr>
              <w:t>s</w:t>
            </w:r>
            <w:r w:rsidRPr="00B402AA">
              <w:rPr>
                <w:u w:val="single"/>
              </w:rPr>
              <w:t>:</w:t>
            </w:r>
            <w:r>
              <w:t xml:space="preserve"> </w:t>
            </w:r>
            <w:r w:rsidRPr="00585D56">
              <w:rPr>
                <w:b/>
              </w:rPr>
              <w:t>Shift in focus due to COVID-19</w:t>
            </w:r>
            <w:r>
              <w:rPr>
                <w:b/>
              </w:rPr>
              <w:t xml:space="preserve"> </w:t>
            </w:r>
            <w:r w:rsidRPr="003F6E37">
              <w:rPr>
                <w:b/>
              </w:rPr>
              <w:t>– with promotion of clear messages and narrative for UHC and COVID-19, bringing partners together behind a shared vision that builds on the Key Asks</w:t>
            </w:r>
          </w:p>
          <w:p w14:paraId="1B80F833" w14:textId="77777777" w:rsidR="001F16B4" w:rsidRDefault="00E95A93" w:rsidP="001F16B4">
            <w:pPr>
              <w:pStyle w:val="ListParagraph"/>
              <w:numPr>
                <w:ilvl w:val="0"/>
                <w:numId w:val="4"/>
              </w:numPr>
            </w:pPr>
            <w:r w:rsidRPr="001F16B4">
              <w:rPr>
                <w:b/>
              </w:rPr>
              <w:t xml:space="preserve">Discussions ongoing for integrated accountability framework and UHC2030 role. </w:t>
            </w:r>
            <w:r w:rsidRPr="001F16B4">
              <w:t>The Independent Accountability Panel’s report focus has changed due to COVID-19, with reduced inputs for UHC2030. Collaboration with PMNCH underway to take forward the agenda jointly in 2021.</w:t>
            </w:r>
          </w:p>
          <w:p w14:paraId="3F56BABD" w14:textId="77777777" w:rsidR="001F16B4" w:rsidRDefault="00E95A93" w:rsidP="001F16B4">
            <w:pPr>
              <w:pStyle w:val="ListParagraph"/>
              <w:numPr>
                <w:ilvl w:val="0"/>
                <w:numId w:val="4"/>
              </w:numPr>
            </w:pPr>
            <w:r w:rsidRPr="001F16B4">
              <w:rPr>
                <w:b/>
              </w:rPr>
              <w:t xml:space="preserve">Coherent messages on resilient health systems in the context of COVID-19 promoted: </w:t>
            </w:r>
            <w:r w:rsidRPr="001F16B4">
              <w:t xml:space="preserve">e.g. </w:t>
            </w:r>
            <w:hyperlink r:id="rId23" w:history="1">
              <w:r w:rsidRPr="001F16B4">
                <w:rPr>
                  <w:rStyle w:val="Hyperlink"/>
                </w:rPr>
                <w:t>Co-chairs’ statement</w:t>
              </w:r>
            </w:hyperlink>
            <w:r w:rsidRPr="001F16B4">
              <w:t xml:space="preserve">, </w:t>
            </w:r>
            <w:hyperlink r:id="rId24" w:history="1">
              <w:r w:rsidRPr="001F16B4">
                <w:rPr>
                  <w:rStyle w:val="Hyperlink"/>
                </w:rPr>
                <w:t>discussion paper on UHC and emergencies</w:t>
              </w:r>
            </w:hyperlink>
            <w:r w:rsidRPr="001F16B4">
              <w:t xml:space="preserve">, </w:t>
            </w:r>
            <w:hyperlink r:id="rId25" w:history="1">
              <w:r w:rsidRPr="001F16B4">
                <w:rPr>
                  <w:rStyle w:val="Hyperlink"/>
                </w:rPr>
                <w:t>open message to UNGA ministerial meeting on UHC</w:t>
              </w:r>
            </w:hyperlink>
            <w:r w:rsidRPr="001F16B4">
              <w:t xml:space="preserve">, </w:t>
            </w:r>
            <w:hyperlink r:id="rId26" w:history="1">
              <w:r w:rsidRPr="001F16B4">
                <w:rPr>
                  <w:rStyle w:val="Hyperlink"/>
                </w:rPr>
                <w:t>call to OECD/DAC ministers of development cooperation</w:t>
              </w:r>
            </w:hyperlink>
            <w:r w:rsidRPr="001F16B4">
              <w:t xml:space="preserve">, </w:t>
            </w:r>
            <w:hyperlink r:id="rId27" w:history="1">
              <w:r w:rsidRPr="001F16B4">
                <w:rPr>
                  <w:rStyle w:val="Hyperlink"/>
                </w:rPr>
                <w:t>a joint letter</w:t>
              </w:r>
            </w:hyperlink>
            <w:r w:rsidRPr="001F16B4">
              <w:t xml:space="preserve"> to presidents of parliaments from UHC2030 Co-Chairs and IPU President.</w:t>
            </w:r>
          </w:p>
          <w:p w14:paraId="24EDB8B1" w14:textId="4964E94B" w:rsidR="00E95A93" w:rsidRPr="001F16B4" w:rsidRDefault="00E95A93" w:rsidP="001F16B4">
            <w:pPr>
              <w:pStyle w:val="ListParagraph"/>
              <w:numPr>
                <w:ilvl w:val="0"/>
                <w:numId w:val="4"/>
              </w:numPr>
            </w:pPr>
            <w:r w:rsidRPr="001F16B4">
              <w:rPr>
                <w:b/>
              </w:rPr>
              <w:t>Collaboration across partnerships</w:t>
            </w:r>
            <w:r w:rsidRPr="001F16B4">
              <w:t xml:space="preserve"> </w:t>
            </w:r>
            <w:r w:rsidRPr="001F16B4">
              <w:rPr>
                <w:b/>
              </w:rPr>
              <w:t>strengthened</w:t>
            </w:r>
            <w:r w:rsidRPr="001F16B4">
              <w:t xml:space="preserve"> with UHC2030/PMNCH summit on Lives in the Balance – Improving the lives of women, children and adolescents through UHC, with 1700 participants from 92 countries brought together several other partnerships (NCD alliance, Roll-back Malaria, Scale Up Nutrition, Sanitation and Water for All, Women in Global Health) to amplify jointly the call for investment in health systems that protect everyone</w:t>
            </w:r>
          </w:p>
        </w:tc>
      </w:tr>
      <w:tr w:rsidR="00E95A93" w:rsidRPr="003F6E37" w14:paraId="12C31CDE" w14:textId="77777777" w:rsidTr="001F16B4">
        <w:tc>
          <w:tcPr>
            <w:tcW w:w="0" w:type="auto"/>
          </w:tcPr>
          <w:p w14:paraId="161B1CE8" w14:textId="77777777" w:rsidR="00E95A93" w:rsidRPr="00F04152" w:rsidRDefault="00E95A93" w:rsidP="001F16B4">
            <w:pPr>
              <w:pStyle w:val="ListParagraph"/>
              <w:numPr>
                <w:ilvl w:val="1"/>
                <w:numId w:val="3"/>
              </w:numPr>
              <w:ind w:left="432"/>
              <w:rPr>
                <w:b/>
                <w:bCs/>
                <w:sz w:val="24"/>
              </w:rPr>
            </w:pPr>
            <w:r w:rsidRPr="00F04152">
              <w:rPr>
                <w:b/>
                <w:bCs/>
                <w:sz w:val="24"/>
              </w:rPr>
              <w:t>Engaged communities</w:t>
            </w:r>
          </w:p>
          <w:p w14:paraId="2930A302" w14:textId="77777777" w:rsidR="00E95A93" w:rsidRDefault="00E95A93" w:rsidP="00E95A93">
            <w:pPr>
              <w:ind w:left="432"/>
            </w:pPr>
          </w:p>
          <w:p w14:paraId="49EA5C71" w14:textId="77777777" w:rsidR="00E95A93" w:rsidRDefault="00E95A93" w:rsidP="00E95A93">
            <w:pPr>
              <w:spacing w:after="80"/>
              <w:ind w:left="432"/>
              <w:rPr>
                <w:rFonts w:ascii="Arial" w:hAnsi="Arial" w:cs="Arial"/>
                <w:sz w:val="20"/>
                <w:szCs w:val="20"/>
                <w:lang w:val="en-GB"/>
              </w:rPr>
            </w:pPr>
            <w:r>
              <w:rPr>
                <w:rFonts w:ascii="Arial" w:hAnsi="Arial" w:cs="Arial"/>
                <w:sz w:val="20"/>
                <w:szCs w:val="20"/>
                <w:lang w:val="en-GB"/>
              </w:rPr>
              <w:t>Equip civil society and communities to make governments answerable on UHC</w:t>
            </w:r>
          </w:p>
          <w:p w14:paraId="3EE9374A" w14:textId="77777777" w:rsidR="00E95A93" w:rsidRPr="00F04152" w:rsidRDefault="00E95A93" w:rsidP="00E95A93">
            <w:pPr>
              <w:ind w:left="432"/>
              <w:rPr>
                <w:lang w:val="en-GB"/>
              </w:rPr>
            </w:pPr>
          </w:p>
        </w:tc>
        <w:tc>
          <w:tcPr>
            <w:tcW w:w="2965" w:type="dxa"/>
          </w:tcPr>
          <w:p w14:paraId="13FADC5D" w14:textId="77777777" w:rsidR="00E95A93" w:rsidRPr="006019DB" w:rsidRDefault="00E95A93" w:rsidP="00E95A93">
            <w:pPr>
              <w:spacing w:after="120"/>
              <w:ind w:left="432"/>
              <w:rPr>
                <w:i/>
              </w:rPr>
            </w:pPr>
          </w:p>
          <w:p w14:paraId="19E4A465" w14:textId="77777777" w:rsidR="00E95A93" w:rsidRPr="006019DB" w:rsidRDefault="00E95A93" w:rsidP="00E95A93">
            <w:pPr>
              <w:spacing w:after="80"/>
              <w:ind w:left="432"/>
              <w:rPr>
                <w:rFonts w:ascii="Arial" w:hAnsi="Arial" w:cs="Arial"/>
                <w:i/>
                <w:sz w:val="20"/>
                <w:szCs w:val="20"/>
                <w:lang w:val="en-GB"/>
              </w:rPr>
            </w:pPr>
            <w:r w:rsidRPr="006019DB">
              <w:rPr>
                <w:rFonts w:ascii="Arial" w:hAnsi="Arial" w:cs="Arial"/>
                <w:i/>
                <w:sz w:val="20"/>
                <w:szCs w:val="20"/>
                <w:lang w:val="en-GB"/>
              </w:rPr>
              <w:t>- More countries have civil society participation in national health planning and review processes.</w:t>
            </w:r>
          </w:p>
          <w:p w14:paraId="73836A8A" w14:textId="77777777" w:rsidR="00E95A93" w:rsidRPr="006019DB" w:rsidRDefault="00E95A93" w:rsidP="00E95A93">
            <w:pPr>
              <w:spacing w:after="80"/>
              <w:ind w:left="432"/>
              <w:rPr>
                <w:rFonts w:ascii="Arial" w:hAnsi="Arial" w:cs="Arial"/>
                <w:i/>
                <w:sz w:val="20"/>
                <w:szCs w:val="20"/>
                <w:lang w:val="en-GB"/>
              </w:rPr>
            </w:pPr>
            <w:r w:rsidRPr="006019DB">
              <w:rPr>
                <w:rFonts w:ascii="Arial" w:hAnsi="Arial" w:cs="Arial"/>
                <w:i/>
                <w:sz w:val="20"/>
                <w:szCs w:val="20"/>
                <w:lang w:val="en-GB"/>
              </w:rPr>
              <w:t>- More countries with active campaigns on UHC.</w:t>
            </w:r>
          </w:p>
          <w:p w14:paraId="139B24A6" w14:textId="77777777" w:rsidR="00E95A93" w:rsidRPr="006019DB" w:rsidRDefault="00E95A93" w:rsidP="00E95A93">
            <w:pPr>
              <w:spacing w:after="120"/>
              <w:ind w:left="432"/>
              <w:rPr>
                <w:i/>
                <w:lang w:val="en-GB"/>
              </w:rPr>
            </w:pPr>
            <w:r w:rsidRPr="006019DB">
              <w:rPr>
                <w:rFonts w:ascii="Arial" w:hAnsi="Arial" w:cs="Arial"/>
                <w:i/>
                <w:sz w:val="20"/>
                <w:szCs w:val="20"/>
                <w:lang w:val="en-GB"/>
              </w:rPr>
              <w:t>- Better aligned funding for CSO-led advocacy and accountability efforts</w:t>
            </w:r>
          </w:p>
        </w:tc>
        <w:tc>
          <w:tcPr>
            <w:tcW w:w="9656" w:type="dxa"/>
          </w:tcPr>
          <w:p w14:paraId="41D9B92A" w14:textId="77777777" w:rsidR="00E95A93" w:rsidRPr="00B402AA" w:rsidRDefault="00E95A93" w:rsidP="00E95A93">
            <w:pPr>
              <w:rPr>
                <w:b/>
              </w:rPr>
            </w:pPr>
            <w:r>
              <w:rPr>
                <w:b/>
                <w:u w:val="single"/>
              </w:rPr>
              <w:t>Progress:</w:t>
            </w:r>
            <w:r>
              <w:rPr>
                <w:b/>
              </w:rPr>
              <w:t xml:space="preserve"> Largely on track, adapted due to COVID-19, with strong calls for health systems that protect everyone</w:t>
            </w:r>
          </w:p>
          <w:p w14:paraId="3F6C5573" w14:textId="77777777" w:rsidR="001F16B4" w:rsidRDefault="00E95A93" w:rsidP="001F16B4">
            <w:pPr>
              <w:pStyle w:val="ListParagraph"/>
              <w:numPr>
                <w:ilvl w:val="0"/>
                <w:numId w:val="5"/>
              </w:numPr>
            </w:pPr>
            <w:r w:rsidRPr="001F16B4">
              <w:rPr>
                <w:b/>
              </w:rPr>
              <w:t>‘UHC 101’ to be finalized in early 2021 with CSEM</w:t>
            </w:r>
            <w:r w:rsidRPr="001F16B4">
              <w:t xml:space="preserve"> (messaging and advocacy tools for country CSOs). CSEM has also launched the </w:t>
            </w:r>
            <w:hyperlink r:id="rId28" w:history="1">
              <w:r w:rsidRPr="001F16B4">
                <w:rPr>
                  <w:rStyle w:val="Hyperlink"/>
                </w:rPr>
                <w:t>civil society calls to action on UHC and COVID-19</w:t>
              </w:r>
            </w:hyperlink>
            <w:r w:rsidRPr="001F16B4">
              <w:t xml:space="preserve"> after results of a CSEM survey and the social participation technical network survey showed that few CSOs were engaged in national COVID-19 responses.</w:t>
            </w:r>
          </w:p>
          <w:p w14:paraId="5C2C6568" w14:textId="77777777" w:rsidR="001F16B4" w:rsidRDefault="00E95A93" w:rsidP="001F16B4">
            <w:pPr>
              <w:pStyle w:val="ListParagraph"/>
              <w:numPr>
                <w:ilvl w:val="0"/>
                <w:numId w:val="5"/>
              </w:numPr>
            </w:pPr>
            <w:r w:rsidRPr="001F16B4">
              <w:rPr>
                <w:b/>
              </w:rPr>
              <w:t xml:space="preserve">Diverse views reflected in consultation on WHO social participation handbook </w:t>
            </w:r>
            <w:r w:rsidRPr="001F16B4">
              <w:t xml:space="preserve">(&gt;100 CSOs and academia), facilitated by UHC2030 and Health Systems Governance Collaborative. Joint advocacy plans developed with PMNCH for further action in 2021. </w:t>
            </w:r>
          </w:p>
          <w:p w14:paraId="0D5E3A47" w14:textId="3E6461C8" w:rsidR="001F16B4" w:rsidRDefault="00E95A93" w:rsidP="001F16B4">
            <w:pPr>
              <w:pStyle w:val="ListParagraph"/>
              <w:numPr>
                <w:ilvl w:val="0"/>
                <w:numId w:val="5"/>
              </w:numPr>
            </w:pPr>
            <w:r w:rsidRPr="001F16B4">
              <w:rPr>
                <w:b/>
              </w:rPr>
              <w:t>CSO task force on common approach to CSO platforms and funding</w:t>
            </w:r>
            <w:r w:rsidRPr="001F16B4">
              <w:t xml:space="preserve">, initially convened in early 2020 jointly with PMNCH but need to be reconvened in 2021 and focus reviewed </w:t>
            </w:r>
            <w:proofErr w:type="gramStart"/>
            <w:r w:rsidRPr="001F16B4">
              <w:t>in light of</w:t>
            </w:r>
            <w:proofErr w:type="gramEnd"/>
            <w:r w:rsidRPr="001F16B4">
              <w:t xml:space="preserve"> COVID-19</w:t>
            </w:r>
          </w:p>
          <w:p w14:paraId="697F5286" w14:textId="77777777" w:rsidR="001F16B4" w:rsidRDefault="00E95A93" w:rsidP="001F16B4">
            <w:pPr>
              <w:pStyle w:val="ListParagraph"/>
              <w:numPr>
                <w:ilvl w:val="0"/>
                <w:numId w:val="5"/>
              </w:numPr>
            </w:pPr>
            <w:r w:rsidRPr="001F16B4">
              <w:rPr>
                <w:b/>
              </w:rPr>
              <w:t xml:space="preserve">Collaborative learning agenda on health financing launched </w:t>
            </w:r>
            <w:r w:rsidRPr="001F16B4">
              <w:t>in collaboration with PMNCH to support ‘virtual joint support’ (with Global Fund, GFF, GAVI) for CSO capacity building on domestic resource mobilization, building on the UHC2030 budget toolkit (updated version to be available online in early 2021).</w:t>
            </w:r>
          </w:p>
          <w:p w14:paraId="7162946B" w14:textId="77777777" w:rsidR="001F16B4" w:rsidRDefault="00E95A93" w:rsidP="001F16B4">
            <w:pPr>
              <w:pStyle w:val="ListParagraph"/>
              <w:numPr>
                <w:ilvl w:val="0"/>
                <w:numId w:val="5"/>
              </w:numPr>
            </w:pPr>
            <w:r w:rsidRPr="001F16B4">
              <w:rPr>
                <w:b/>
              </w:rPr>
              <w:t>UHC Day</w:t>
            </w:r>
            <w:r w:rsidRPr="001F16B4">
              <w:t xml:space="preserve"> </w:t>
            </w:r>
            <w:r w:rsidRPr="001F16B4">
              <w:rPr>
                <w:b/>
              </w:rPr>
              <w:t xml:space="preserve">coordinated campaign on ‘Health </w:t>
            </w:r>
            <w:proofErr w:type="gramStart"/>
            <w:r w:rsidRPr="001F16B4">
              <w:rPr>
                <w:b/>
              </w:rPr>
              <w:t>For</w:t>
            </w:r>
            <w:proofErr w:type="gramEnd"/>
            <w:r w:rsidRPr="001F16B4">
              <w:rPr>
                <w:b/>
              </w:rPr>
              <w:t xml:space="preserve"> All: PROTECT EVERYONE’. </w:t>
            </w:r>
            <w:r w:rsidRPr="001F16B4">
              <w:t xml:space="preserve">Reached and influenced diverse audiences with clear messages to demand action on health systems for both UHC and health security. </w:t>
            </w:r>
            <w:hyperlink r:id="rId29" w:history="1">
              <w:r w:rsidRPr="001F16B4">
                <w:rPr>
                  <w:rStyle w:val="Hyperlink"/>
                </w:rPr>
                <w:t>Campaign highlights</w:t>
              </w:r>
            </w:hyperlink>
            <w:r w:rsidRPr="001F16B4">
              <w:t xml:space="preserve"> include: </w:t>
            </w:r>
          </w:p>
          <w:p w14:paraId="186D7744" w14:textId="77777777" w:rsidR="001F16B4" w:rsidRDefault="00E95A93" w:rsidP="001F16B4">
            <w:pPr>
              <w:pStyle w:val="ListParagraph"/>
              <w:numPr>
                <w:ilvl w:val="1"/>
                <w:numId w:val="5"/>
              </w:numPr>
            </w:pPr>
            <w:r w:rsidRPr="001F16B4">
              <w:t>Over 1.3 billion potential Twitter impressions reaching 126.7 million accounts from 1-16 December</w:t>
            </w:r>
          </w:p>
          <w:p w14:paraId="67AA731B" w14:textId="77777777" w:rsidR="001F16B4" w:rsidRDefault="00E95A93" w:rsidP="001F16B4">
            <w:pPr>
              <w:pStyle w:val="ListParagraph"/>
              <w:numPr>
                <w:ilvl w:val="1"/>
                <w:numId w:val="5"/>
              </w:numPr>
            </w:pPr>
            <w:r w:rsidRPr="001F16B4">
              <w:t>Widespread incorporation of COVID-specific messaging and tools, including the production of campaign face masks and development of digital mask filters</w:t>
            </w:r>
          </w:p>
          <w:p w14:paraId="45E980D6" w14:textId="77777777" w:rsidR="001F16B4" w:rsidRDefault="00E95A93" w:rsidP="001F16B4">
            <w:pPr>
              <w:pStyle w:val="ListParagraph"/>
              <w:numPr>
                <w:ilvl w:val="1"/>
                <w:numId w:val="5"/>
              </w:numPr>
            </w:pPr>
            <w:r w:rsidRPr="001F16B4">
              <w:t xml:space="preserve">60+ high-level UHC Day champions engaged in the campaign, including 12 permanent missions to the United Nations and 13 from CSEM </w:t>
            </w:r>
          </w:p>
          <w:p w14:paraId="2EE0F323" w14:textId="77777777" w:rsidR="001F16B4" w:rsidRDefault="00E95A93" w:rsidP="001F16B4">
            <w:pPr>
              <w:pStyle w:val="ListParagraph"/>
              <w:numPr>
                <w:ilvl w:val="1"/>
                <w:numId w:val="5"/>
              </w:numPr>
            </w:pPr>
            <w:r w:rsidRPr="001F16B4">
              <w:t xml:space="preserve">123 activities spanning 40 countries submitted to the global campaign </w:t>
            </w:r>
            <w:proofErr w:type="spellStart"/>
            <w:r w:rsidRPr="001F16B4">
              <w:t>heatma</w:t>
            </w:r>
            <w:proofErr w:type="spellEnd"/>
          </w:p>
          <w:p w14:paraId="4BF6D06E" w14:textId="77777777" w:rsidR="00E95A93" w:rsidRDefault="00E95A93" w:rsidP="001F16B4">
            <w:pPr>
              <w:pStyle w:val="ListParagraph"/>
              <w:numPr>
                <w:ilvl w:val="1"/>
                <w:numId w:val="5"/>
              </w:numPr>
            </w:pPr>
            <w:r w:rsidRPr="001F16B4">
              <w:t xml:space="preserve">27 </w:t>
            </w:r>
            <w:hyperlink r:id="rId30" w:history="1">
              <w:r w:rsidRPr="001F16B4">
                <w:rPr>
                  <w:rStyle w:val="Hyperlink"/>
                </w:rPr>
                <w:t>stories</w:t>
              </w:r>
            </w:hyperlink>
            <w:r w:rsidRPr="001F16B4">
              <w:t xml:space="preserve"> and interviews published by CSEM on civil society’s role during the pandemic to “protect everyone”</w:t>
            </w:r>
          </w:p>
          <w:p w14:paraId="16749D4C" w14:textId="2C080D66" w:rsidR="00000A1A" w:rsidRPr="001F16B4" w:rsidRDefault="00000A1A" w:rsidP="00000A1A">
            <w:pPr>
              <w:pStyle w:val="ListParagraph"/>
              <w:ind w:left="720"/>
            </w:pPr>
          </w:p>
        </w:tc>
      </w:tr>
      <w:tr w:rsidR="00E95A93" w:rsidRPr="003D553B" w14:paraId="784F32D8" w14:textId="77777777" w:rsidTr="001F16B4">
        <w:trPr>
          <w:trHeight w:val="377"/>
        </w:trPr>
        <w:tc>
          <w:tcPr>
            <w:tcW w:w="14845" w:type="dxa"/>
            <w:gridSpan w:val="3"/>
          </w:tcPr>
          <w:p w14:paraId="62372339" w14:textId="28ACFD32" w:rsidR="00E95A93" w:rsidRPr="003D553B" w:rsidRDefault="00E95A93" w:rsidP="00E95A93">
            <w:pPr>
              <w:spacing w:before="80"/>
              <w:ind w:left="432"/>
              <w:rPr>
                <w:rFonts w:ascii="Arial" w:hAnsi="Arial" w:cs="Arial"/>
                <w:b/>
                <w:i/>
              </w:rPr>
            </w:pPr>
            <w:r w:rsidRPr="006019DB">
              <w:rPr>
                <w:rFonts w:ascii="Arial" w:hAnsi="Arial" w:cs="Arial"/>
                <w:b/>
                <w:i/>
                <w:lang w:val="en-GB"/>
              </w:rPr>
              <w:t>Output 2: WORKING BETTER TOGETHER – Effective collaboration on priority and emergent health systems issues</w:t>
            </w:r>
          </w:p>
        </w:tc>
      </w:tr>
      <w:tr w:rsidR="00E95A93" w:rsidRPr="00D85940" w14:paraId="7ADBEF78" w14:textId="77777777" w:rsidTr="001F16B4">
        <w:tc>
          <w:tcPr>
            <w:tcW w:w="0" w:type="auto"/>
          </w:tcPr>
          <w:p w14:paraId="115E9350" w14:textId="77777777" w:rsidR="00E95A93" w:rsidRDefault="00E95A93" w:rsidP="00E95A93">
            <w:pPr>
              <w:ind w:left="432"/>
              <w:rPr>
                <w:b/>
                <w:sz w:val="24"/>
              </w:rPr>
            </w:pPr>
            <w:r w:rsidRPr="00A94B80">
              <w:rPr>
                <w:b/>
                <w:sz w:val="24"/>
              </w:rPr>
              <w:t xml:space="preserve">2.1 </w:t>
            </w:r>
            <w:proofErr w:type="spellStart"/>
            <w:r w:rsidRPr="00A94B80">
              <w:rPr>
                <w:b/>
                <w:sz w:val="24"/>
              </w:rPr>
              <w:t>Harmonised</w:t>
            </w:r>
            <w:proofErr w:type="spellEnd"/>
            <w:r w:rsidRPr="00A94B80">
              <w:rPr>
                <w:b/>
                <w:sz w:val="24"/>
              </w:rPr>
              <w:t xml:space="preserve"> health systems strengthening</w:t>
            </w:r>
          </w:p>
          <w:p w14:paraId="74462DDD" w14:textId="77777777" w:rsidR="00E95A93" w:rsidRDefault="00E95A93" w:rsidP="00E95A93">
            <w:pPr>
              <w:ind w:left="432"/>
              <w:rPr>
                <w:b/>
              </w:rPr>
            </w:pPr>
          </w:p>
          <w:p w14:paraId="435A7444" w14:textId="77777777" w:rsidR="00E95A93" w:rsidRDefault="00E95A93" w:rsidP="00E95A93">
            <w:pPr>
              <w:spacing w:after="80"/>
              <w:ind w:left="432"/>
              <w:rPr>
                <w:rFonts w:ascii="Arial" w:hAnsi="Arial" w:cs="Arial"/>
                <w:sz w:val="20"/>
                <w:szCs w:val="20"/>
                <w:lang w:val="en-GB"/>
              </w:rPr>
            </w:pPr>
            <w:r>
              <w:rPr>
                <w:rFonts w:ascii="Arial" w:hAnsi="Arial" w:cs="Arial"/>
                <w:sz w:val="20"/>
                <w:szCs w:val="20"/>
              </w:rPr>
              <w:t>Agree and promote</w:t>
            </w:r>
            <w:r>
              <w:rPr>
                <w:rFonts w:ascii="Arial" w:hAnsi="Arial" w:cs="Arial"/>
                <w:sz w:val="20"/>
                <w:szCs w:val="20"/>
                <w:lang w:val="en-GB"/>
              </w:rPr>
              <w:t xml:space="preserve"> demand-led guidance and tools to harmonise HSS efforts (tailored to different country contexts and complementing SDG3 GAP commitments).</w:t>
            </w:r>
          </w:p>
          <w:p w14:paraId="002B2DA6" w14:textId="77777777" w:rsidR="00E95A93" w:rsidRPr="00F04152" w:rsidRDefault="00E95A93" w:rsidP="00E95A93">
            <w:pPr>
              <w:ind w:left="432"/>
              <w:rPr>
                <w:b/>
                <w:lang w:val="en-GB"/>
              </w:rPr>
            </w:pPr>
          </w:p>
        </w:tc>
        <w:tc>
          <w:tcPr>
            <w:tcW w:w="2965" w:type="dxa"/>
          </w:tcPr>
          <w:p w14:paraId="1382DDB9" w14:textId="77777777" w:rsidR="00E95A93" w:rsidRPr="006019DB" w:rsidRDefault="00E95A93" w:rsidP="00E95A93">
            <w:pPr>
              <w:ind w:left="432"/>
              <w:rPr>
                <w:i/>
              </w:rPr>
            </w:pPr>
          </w:p>
          <w:p w14:paraId="1E80C054" w14:textId="77777777" w:rsidR="00E95A93" w:rsidRPr="006019DB" w:rsidRDefault="00E95A93" w:rsidP="00E95A93">
            <w:pPr>
              <w:spacing w:after="80"/>
              <w:ind w:left="432" w:hanging="216"/>
              <w:rPr>
                <w:rFonts w:ascii="Arial" w:hAnsi="Arial" w:cs="Arial"/>
                <w:i/>
                <w:sz w:val="20"/>
                <w:szCs w:val="20"/>
                <w:lang w:val="en-GB"/>
              </w:rPr>
            </w:pPr>
            <w:r w:rsidRPr="006019DB">
              <w:rPr>
                <w:rFonts w:ascii="Arial" w:hAnsi="Arial" w:cs="Arial"/>
                <w:i/>
                <w:sz w:val="20"/>
                <w:szCs w:val="20"/>
                <w:lang w:val="en-GB"/>
              </w:rPr>
              <w:t>- Countries’ and major funders’ plans and accountability frameworks reflect consensus transition principles.</w:t>
            </w:r>
          </w:p>
          <w:p w14:paraId="4C5F0840" w14:textId="77777777" w:rsidR="00E95A93" w:rsidRPr="006019DB" w:rsidRDefault="00E95A93" w:rsidP="00E95A93">
            <w:pPr>
              <w:spacing w:after="80"/>
              <w:ind w:left="432" w:hanging="216"/>
              <w:rPr>
                <w:rFonts w:ascii="Arial" w:hAnsi="Arial" w:cs="Arial"/>
                <w:i/>
                <w:sz w:val="20"/>
                <w:szCs w:val="20"/>
                <w:lang w:val="en-GB"/>
              </w:rPr>
            </w:pPr>
            <w:r w:rsidRPr="006019DB">
              <w:rPr>
                <w:rFonts w:ascii="Arial" w:hAnsi="Arial" w:cs="Arial"/>
                <w:i/>
                <w:sz w:val="20"/>
                <w:szCs w:val="20"/>
                <w:lang w:val="en-GB"/>
              </w:rPr>
              <w:t>- Harmonised health systems assessments in at least 3 countries.</w:t>
            </w:r>
          </w:p>
          <w:p w14:paraId="74CC51F8" w14:textId="77777777" w:rsidR="00E95A93" w:rsidRPr="006019DB" w:rsidRDefault="00E95A93" w:rsidP="00E95A93">
            <w:pPr>
              <w:spacing w:after="80"/>
              <w:ind w:left="432" w:hanging="216"/>
              <w:rPr>
                <w:rFonts w:ascii="Arial" w:hAnsi="Arial" w:cs="Arial"/>
                <w:i/>
                <w:sz w:val="20"/>
                <w:szCs w:val="20"/>
                <w:lang w:val="en-GB"/>
              </w:rPr>
            </w:pPr>
            <w:r w:rsidRPr="006019DB">
              <w:rPr>
                <w:rFonts w:ascii="Arial" w:hAnsi="Arial" w:cs="Arial"/>
                <w:i/>
                <w:sz w:val="20"/>
                <w:szCs w:val="20"/>
                <w:lang w:val="en-GB"/>
              </w:rPr>
              <w:t>- Common framework adopted for strengthening and use of country PFM systems for health.</w:t>
            </w:r>
          </w:p>
          <w:p w14:paraId="5D718550" w14:textId="77777777" w:rsidR="00E95A93" w:rsidRPr="006019DB" w:rsidRDefault="00E95A93" w:rsidP="00E95A93">
            <w:pPr>
              <w:spacing w:after="80"/>
              <w:ind w:left="432" w:hanging="216"/>
              <w:rPr>
                <w:rFonts w:ascii="Arial" w:hAnsi="Arial" w:cs="Arial"/>
                <w:i/>
                <w:sz w:val="20"/>
                <w:szCs w:val="20"/>
                <w:lang w:val="en-GB"/>
              </w:rPr>
            </w:pPr>
            <w:r w:rsidRPr="006019DB">
              <w:rPr>
                <w:rFonts w:ascii="Arial" w:hAnsi="Arial" w:cs="Arial"/>
                <w:i/>
                <w:sz w:val="20"/>
                <w:szCs w:val="20"/>
                <w:lang w:val="en-GB"/>
              </w:rPr>
              <w:t>- Learning promoted on UHC coordination in fragile settings.</w:t>
            </w:r>
          </w:p>
          <w:p w14:paraId="67142F64" w14:textId="77777777" w:rsidR="00E95A93" w:rsidRPr="006019DB" w:rsidRDefault="00E95A93" w:rsidP="00E95A93">
            <w:pPr>
              <w:spacing w:after="80"/>
              <w:ind w:left="432" w:hanging="216"/>
              <w:rPr>
                <w:rFonts w:ascii="Arial" w:hAnsi="Arial" w:cs="Arial"/>
                <w:i/>
                <w:sz w:val="20"/>
                <w:szCs w:val="20"/>
                <w:lang w:val="en-GB"/>
              </w:rPr>
            </w:pPr>
            <w:r w:rsidRPr="006019DB">
              <w:rPr>
                <w:rFonts w:ascii="Arial" w:hAnsi="Arial" w:cs="Arial"/>
                <w:i/>
                <w:sz w:val="20"/>
                <w:szCs w:val="20"/>
                <w:lang w:val="en-GB"/>
              </w:rPr>
              <w:t>- Demand-led country compacts in at least 3 countries, with learning documented.</w:t>
            </w:r>
          </w:p>
          <w:p w14:paraId="0C6B0DA9" w14:textId="77777777" w:rsidR="00E95A93" w:rsidRPr="006019DB" w:rsidRDefault="00E95A93" w:rsidP="00E95A93">
            <w:pPr>
              <w:ind w:left="432" w:hanging="216"/>
              <w:rPr>
                <w:i/>
              </w:rPr>
            </w:pPr>
            <w:r w:rsidRPr="006019DB">
              <w:rPr>
                <w:rFonts w:ascii="Arial" w:hAnsi="Arial" w:cs="Arial"/>
                <w:i/>
                <w:sz w:val="20"/>
                <w:szCs w:val="20"/>
                <w:lang w:val="en-GB"/>
              </w:rPr>
              <w:t>- Principles/framework agreed for mutually reinforcing actions for health security and UHC</w:t>
            </w:r>
          </w:p>
        </w:tc>
        <w:tc>
          <w:tcPr>
            <w:tcW w:w="9656" w:type="dxa"/>
          </w:tcPr>
          <w:p w14:paraId="01F7C951" w14:textId="77777777" w:rsidR="00E95A93" w:rsidRPr="00205BA3" w:rsidRDefault="00E95A93" w:rsidP="00E95A93">
            <w:pPr>
              <w:rPr>
                <w:b/>
              </w:rPr>
            </w:pPr>
            <w:r>
              <w:rPr>
                <w:b/>
                <w:u w:val="single"/>
              </w:rPr>
              <w:t>Progress:</w:t>
            </w:r>
            <w:r>
              <w:rPr>
                <w:b/>
              </w:rPr>
              <w:t xml:space="preserve"> UHC2030 developed and promoted policy guidance and learning on health systems for UHC and health </w:t>
            </w:r>
            <w:proofErr w:type="gramStart"/>
            <w:r>
              <w:rPr>
                <w:b/>
              </w:rPr>
              <w:t>emergencies  in</w:t>
            </w:r>
            <w:proofErr w:type="gramEnd"/>
            <w:r>
              <w:rPr>
                <w:b/>
              </w:rPr>
              <w:t xml:space="preserve"> COVID-19 context</w:t>
            </w:r>
          </w:p>
          <w:p w14:paraId="5CBD576A" w14:textId="77777777" w:rsidR="001F16B4" w:rsidRDefault="00E95A93" w:rsidP="001F16B4">
            <w:pPr>
              <w:pStyle w:val="ListParagraph"/>
              <w:numPr>
                <w:ilvl w:val="0"/>
                <w:numId w:val="6"/>
              </w:numPr>
            </w:pPr>
            <w:r w:rsidRPr="001F16B4">
              <w:rPr>
                <w:b/>
              </w:rPr>
              <w:t xml:space="preserve">UHC and emergencies </w:t>
            </w:r>
            <w:hyperlink r:id="rId31" w:history="1">
              <w:r w:rsidRPr="001F16B4">
                <w:rPr>
                  <w:rStyle w:val="Hyperlink"/>
                  <w:b/>
                </w:rPr>
                <w:t>discussion paper</w:t>
              </w:r>
            </w:hyperlink>
            <w:r w:rsidRPr="001F16B4">
              <w:rPr>
                <w:b/>
              </w:rPr>
              <w:t xml:space="preserve"> published and, building on Key Asks, frames our work and narrative in the COVID-19 context</w:t>
            </w:r>
            <w:r w:rsidRPr="001F16B4">
              <w:t xml:space="preserve"> – e.g. the UHC Day ‘protect everyone’ campaign</w:t>
            </w:r>
            <w:r w:rsidRPr="001F16B4">
              <w:rPr>
                <w:b/>
              </w:rPr>
              <w:t xml:space="preserve">. </w:t>
            </w:r>
            <w:r w:rsidRPr="001F16B4">
              <w:t xml:space="preserve">The paper and launch event (&gt;400 people attended) had excellent feedback, including (anecdotal) that it influenced policy discussions/positions in WHO and other </w:t>
            </w:r>
            <w:proofErr w:type="spellStart"/>
            <w:r w:rsidRPr="001F16B4">
              <w:t>organisations.</w:t>
            </w:r>
            <w:proofErr w:type="spellEnd"/>
          </w:p>
          <w:p w14:paraId="06A34F43" w14:textId="77777777" w:rsidR="001F16B4" w:rsidRDefault="00E95A93" w:rsidP="001F16B4">
            <w:pPr>
              <w:pStyle w:val="ListParagraph"/>
              <w:numPr>
                <w:ilvl w:val="0"/>
                <w:numId w:val="6"/>
              </w:numPr>
            </w:pPr>
            <w:hyperlink r:id="rId32" w:history="1">
              <w:r w:rsidRPr="001F16B4">
                <w:rPr>
                  <w:rStyle w:val="Hyperlink"/>
                  <w:b/>
                </w:rPr>
                <w:t>Policy brief</w:t>
              </w:r>
            </w:hyperlink>
            <w:r w:rsidRPr="001F16B4">
              <w:rPr>
                <w:b/>
              </w:rPr>
              <w:t xml:space="preserve"> published on COVID-19 and fragile settings. </w:t>
            </w:r>
            <w:r w:rsidRPr="001F16B4">
              <w:t xml:space="preserve">UHC2030 convened diverse stakeholders to share evidence/learning on </w:t>
            </w:r>
            <w:r w:rsidRPr="001F16B4">
              <w:rPr>
                <w:b/>
              </w:rPr>
              <w:t>COVID-19 responses and essential health services in fragile settings</w:t>
            </w:r>
            <w:r w:rsidRPr="001F16B4">
              <w:t xml:space="preserve"> (series of 7 workshops) and develop this brief. We’ve had feedback that this is directly informing COVID-19 response strategies, including WHO’s Strategic Preparedness and Response Plan refresh.</w:t>
            </w:r>
          </w:p>
          <w:p w14:paraId="626D4004" w14:textId="77777777" w:rsidR="001F16B4" w:rsidRPr="001F16B4" w:rsidRDefault="00E95A93" w:rsidP="001F16B4">
            <w:pPr>
              <w:pStyle w:val="ListParagraph"/>
              <w:numPr>
                <w:ilvl w:val="0"/>
                <w:numId w:val="6"/>
              </w:numPr>
            </w:pPr>
            <w:r w:rsidRPr="001F16B4">
              <w:rPr>
                <w:b/>
              </w:rPr>
              <w:t xml:space="preserve">Developing and </w:t>
            </w:r>
            <w:proofErr w:type="spellStart"/>
            <w:r w:rsidRPr="001F16B4">
              <w:rPr>
                <w:b/>
              </w:rPr>
              <w:t>finalising</w:t>
            </w:r>
            <w:proofErr w:type="spellEnd"/>
            <w:r w:rsidRPr="001F16B4">
              <w:rPr>
                <w:b/>
              </w:rPr>
              <w:t xml:space="preserve"> a package of HSS and coordination tools:</w:t>
            </w:r>
          </w:p>
          <w:p w14:paraId="0842EBA9" w14:textId="2B99736C" w:rsidR="001F16B4" w:rsidRDefault="00000A1A" w:rsidP="001F16B4">
            <w:pPr>
              <w:pStyle w:val="ListParagraph"/>
              <w:numPr>
                <w:ilvl w:val="1"/>
                <w:numId w:val="6"/>
              </w:numPr>
            </w:pPr>
            <w:r>
              <w:rPr>
                <w:b/>
              </w:rPr>
              <w:t>S</w:t>
            </w:r>
            <w:r w:rsidR="00E95A93" w:rsidRPr="001F16B4">
              <w:rPr>
                <w:b/>
              </w:rPr>
              <w:t xml:space="preserve">ustainability and transition </w:t>
            </w:r>
            <w:r>
              <w:t>j</w:t>
            </w:r>
            <w:r w:rsidR="00170605" w:rsidRPr="00170605">
              <w:t xml:space="preserve">oint </w:t>
            </w:r>
            <w:r>
              <w:t>blog with</w:t>
            </w:r>
            <w:r w:rsidR="00170605" w:rsidRPr="00170605">
              <w:t xml:space="preserve"> GAP Sustainable Health Financing Accelerator “</w:t>
            </w:r>
            <w:hyperlink r:id="rId33" w:history="1">
              <w:r w:rsidR="00170605" w:rsidRPr="00000A1A">
                <w:rPr>
                  <w:rStyle w:val="Hyperlink"/>
                </w:rPr>
                <w:t>How Covid19 is reshaping priorities for both domestic resources and development assistance in the health sector</w:t>
              </w:r>
            </w:hyperlink>
            <w:r w:rsidR="00170605" w:rsidRPr="00170605">
              <w:t>”</w:t>
            </w:r>
            <w:r>
              <w:t>, c</w:t>
            </w:r>
            <w:r w:rsidRPr="00000A1A">
              <w:t xml:space="preserve">ollaboration with Alliance for Health Policy and System research on </w:t>
            </w:r>
            <w:hyperlink r:id="rId34" w:history="1">
              <w:r w:rsidRPr="00000A1A">
                <w:rPr>
                  <w:rStyle w:val="Hyperlink"/>
                </w:rPr>
                <w:t xml:space="preserve">call for </w:t>
              </w:r>
              <w:r w:rsidRPr="00000A1A">
                <w:rPr>
                  <w:rStyle w:val="Hyperlink"/>
                </w:rPr>
                <w:t xml:space="preserve">research </w:t>
              </w:r>
              <w:r w:rsidRPr="00000A1A">
                <w:rPr>
                  <w:rStyle w:val="Hyperlink"/>
                </w:rPr>
                <w:t>proposals</w:t>
              </w:r>
            </w:hyperlink>
            <w:r w:rsidRPr="00000A1A">
              <w:t xml:space="preserve"> on</w:t>
            </w:r>
            <w:r>
              <w:t xml:space="preserve"> how countries s</w:t>
            </w:r>
            <w:r w:rsidRPr="00000A1A">
              <w:t xml:space="preserve">ustain effective coverage </w:t>
            </w:r>
            <w:r>
              <w:t xml:space="preserve">as they </w:t>
            </w:r>
            <w:r w:rsidRPr="00000A1A">
              <w:t>transition from external assistance</w:t>
            </w:r>
            <w:r>
              <w:t>, CSO capacity building on health financing (see 1.3)</w:t>
            </w:r>
            <w:bookmarkStart w:id="3" w:name="_GoBack"/>
            <w:bookmarkEnd w:id="3"/>
          </w:p>
          <w:p w14:paraId="6E73FC29" w14:textId="77777777" w:rsidR="001F16B4" w:rsidRDefault="00E95A93" w:rsidP="001F16B4">
            <w:pPr>
              <w:pStyle w:val="ListParagraph"/>
              <w:numPr>
                <w:ilvl w:val="1"/>
                <w:numId w:val="6"/>
              </w:numPr>
            </w:pPr>
            <w:r w:rsidRPr="001F16B4">
              <w:rPr>
                <w:b/>
              </w:rPr>
              <w:t>Published ‘</w:t>
            </w:r>
            <w:hyperlink r:id="rId35" w:history="1">
              <w:r w:rsidRPr="001F16B4">
                <w:rPr>
                  <w:rStyle w:val="Hyperlink"/>
                  <w:b/>
                </w:rPr>
                <w:t>Public financial management for UHC - why and how it matters</w:t>
              </w:r>
            </w:hyperlink>
            <w:r w:rsidRPr="001F16B4">
              <w:rPr>
                <w:b/>
              </w:rPr>
              <w:t xml:space="preserve">’ </w:t>
            </w:r>
            <w:r w:rsidRPr="001F16B4">
              <w:t>joint guidance note, a primer on why PFM in the health sector is important for UHC and preventing future pandemics.</w:t>
            </w:r>
          </w:p>
          <w:p w14:paraId="6367F160" w14:textId="77777777" w:rsidR="001F16B4" w:rsidRDefault="00E95A93" w:rsidP="001F16B4">
            <w:pPr>
              <w:pStyle w:val="ListParagraph"/>
              <w:numPr>
                <w:ilvl w:val="1"/>
                <w:numId w:val="6"/>
              </w:numPr>
            </w:pPr>
            <w:r w:rsidRPr="001F16B4">
              <w:rPr>
                <w:b/>
              </w:rPr>
              <w:t>Health systems performance assessment (HSPA) framework and template launched June 2020;</w:t>
            </w:r>
            <w:r w:rsidRPr="001F16B4">
              <w:t xml:space="preserve"> detailed guidance (book) will be published at Health Systems Research Symposium session in February, plus manual on country application in Q1/Q2.</w:t>
            </w:r>
          </w:p>
          <w:p w14:paraId="781B59A0" w14:textId="77777777" w:rsidR="001F16B4" w:rsidRDefault="00E95A93" w:rsidP="001F16B4">
            <w:pPr>
              <w:pStyle w:val="ListParagraph"/>
              <w:numPr>
                <w:ilvl w:val="1"/>
                <w:numId w:val="6"/>
              </w:numPr>
            </w:pPr>
            <w:r w:rsidRPr="001F16B4">
              <w:rPr>
                <w:b/>
              </w:rPr>
              <w:t xml:space="preserve">Fragile settings </w:t>
            </w:r>
            <w:r w:rsidRPr="001F16B4">
              <w:t>guidance product on health systems assessment completed (2019), plus review and 2 country studies on humanitarian-development coordination.</w:t>
            </w:r>
          </w:p>
          <w:p w14:paraId="797E474C" w14:textId="77777777" w:rsidR="001F16B4" w:rsidRDefault="00E95A93" w:rsidP="001F16B4">
            <w:pPr>
              <w:pStyle w:val="ListParagraph"/>
              <w:numPr>
                <w:ilvl w:val="0"/>
                <w:numId w:val="6"/>
              </w:numPr>
            </w:pPr>
            <w:r w:rsidRPr="001F16B4">
              <w:rPr>
                <w:b/>
              </w:rPr>
              <w:t xml:space="preserve">Country compacts: </w:t>
            </w:r>
            <w:r w:rsidRPr="001F16B4">
              <w:t>we responded to initial demand for advice in 3 countries (including TOR for a UHC compact in Ghana). This is temporarily on hold due to COVID-19, aiming to resume Q1/2 2021. We are working regionally (with WHO-EMRO) on updated learning/guidance for different country contexts.</w:t>
            </w:r>
          </w:p>
          <w:p w14:paraId="28679D74" w14:textId="77777777" w:rsidR="0060352C" w:rsidRDefault="00E95A93" w:rsidP="001F16B4">
            <w:pPr>
              <w:pStyle w:val="ListParagraph"/>
              <w:numPr>
                <w:ilvl w:val="0"/>
                <w:numId w:val="6"/>
              </w:numPr>
            </w:pPr>
            <w:r w:rsidRPr="001F16B4">
              <w:t>UHC2030 remains involved in relevant GAP accelerators (civil society, sustainable financing, PHC) plus ongoing conversations about its role in the ACT-A health systems connector and workstreams.</w:t>
            </w:r>
          </w:p>
          <w:p w14:paraId="4AE97FE2" w14:textId="4C162A40" w:rsidR="001F16B4" w:rsidRPr="001F16B4" w:rsidRDefault="001F16B4" w:rsidP="001F16B4">
            <w:pPr>
              <w:pStyle w:val="ListParagraph"/>
              <w:ind w:left="360"/>
            </w:pPr>
          </w:p>
        </w:tc>
      </w:tr>
      <w:tr w:rsidR="00E95A93" w:rsidRPr="006019DB" w14:paraId="3343B724" w14:textId="77777777" w:rsidTr="001F16B4">
        <w:tc>
          <w:tcPr>
            <w:tcW w:w="14845" w:type="dxa"/>
            <w:gridSpan w:val="3"/>
          </w:tcPr>
          <w:p w14:paraId="627EBDC9" w14:textId="6E3F00F1" w:rsidR="00E95A93" w:rsidRPr="006019DB" w:rsidRDefault="00E95A93" w:rsidP="0060352C">
            <w:pPr>
              <w:rPr>
                <w:b/>
                <w:i/>
                <w:u w:val="single"/>
                <w:lang w:val="en-GB"/>
              </w:rPr>
            </w:pPr>
            <w:r w:rsidRPr="006019DB">
              <w:rPr>
                <w:rFonts w:ascii="Arial" w:hAnsi="Arial" w:cs="Arial"/>
                <w:b/>
                <w:i/>
                <w:lang w:val="en-GB"/>
              </w:rPr>
              <w:t>Output 3: KNOWLEDGE &amp; NETWORKS – High quality platforms and learning</w:t>
            </w:r>
          </w:p>
        </w:tc>
      </w:tr>
      <w:tr w:rsidR="00E95A93" w:rsidRPr="00C710D6" w14:paraId="2FA90EDC" w14:textId="77777777" w:rsidTr="001F16B4">
        <w:tc>
          <w:tcPr>
            <w:tcW w:w="0" w:type="auto"/>
          </w:tcPr>
          <w:p w14:paraId="47D5A1DD" w14:textId="77777777" w:rsidR="00E95A93" w:rsidRDefault="00E95A93" w:rsidP="00E95A93">
            <w:pPr>
              <w:ind w:left="432"/>
              <w:rPr>
                <w:b/>
                <w:sz w:val="24"/>
              </w:rPr>
            </w:pPr>
            <w:r w:rsidRPr="00E05018">
              <w:rPr>
                <w:b/>
                <w:sz w:val="24"/>
              </w:rPr>
              <w:t xml:space="preserve">3.1 Stakeholder platforms </w:t>
            </w:r>
          </w:p>
          <w:p w14:paraId="69AF878E" w14:textId="77777777" w:rsidR="00E95A93" w:rsidRDefault="00E95A93" w:rsidP="00E95A93">
            <w:pPr>
              <w:ind w:left="432"/>
              <w:rPr>
                <w:b/>
                <w:sz w:val="24"/>
              </w:rPr>
            </w:pPr>
          </w:p>
          <w:p w14:paraId="0DF03E7C" w14:textId="77777777" w:rsidR="00E95A93" w:rsidRDefault="00E95A93" w:rsidP="00E95A93">
            <w:pPr>
              <w:spacing w:after="80"/>
              <w:ind w:left="432"/>
              <w:rPr>
                <w:rFonts w:ascii="Arial" w:hAnsi="Arial" w:cs="Arial"/>
                <w:sz w:val="20"/>
                <w:szCs w:val="20"/>
                <w:lang w:val="en-GB"/>
              </w:rPr>
            </w:pPr>
            <w:r>
              <w:rPr>
                <w:rFonts w:ascii="Arial" w:hAnsi="Arial" w:cs="Arial"/>
                <w:sz w:val="20"/>
                <w:szCs w:val="20"/>
                <w:lang w:val="en-GB"/>
              </w:rPr>
              <w:t xml:space="preserve">Convene UHC stakeholders and constituencies effectively </w:t>
            </w:r>
          </w:p>
          <w:p w14:paraId="5499E41A" w14:textId="77777777" w:rsidR="00E95A93" w:rsidRPr="00F04152" w:rsidRDefault="00E95A93" w:rsidP="00E95A93">
            <w:pPr>
              <w:ind w:left="432"/>
              <w:rPr>
                <w:b/>
                <w:lang w:val="en-GB"/>
              </w:rPr>
            </w:pPr>
          </w:p>
        </w:tc>
        <w:tc>
          <w:tcPr>
            <w:tcW w:w="2965" w:type="dxa"/>
          </w:tcPr>
          <w:p w14:paraId="2ED0971B" w14:textId="77777777" w:rsidR="00E95A93" w:rsidRDefault="00E95A93" w:rsidP="00E95A93">
            <w:pPr>
              <w:spacing w:after="120"/>
              <w:ind w:left="432"/>
              <w:rPr>
                <w:rFonts w:ascii="Arial" w:hAnsi="Arial" w:cs="Arial"/>
                <w:i/>
                <w:sz w:val="20"/>
                <w:szCs w:val="20"/>
                <w:lang w:val="en-GB"/>
              </w:rPr>
            </w:pPr>
          </w:p>
          <w:p w14:paraId="1341C299" w14:textId="77777777" w:rsidR="00E95A93" w:rsidRPr="006019DB" w:rsidRDefault="00E95A93" w:rsidP="00E95A93">
            <w:pPr>
              <w:spacing w:after="120"/>
              <w:ind w:left="432"/>
              <w:rPr>
                <w:rFonts w:ascii="Arial" w:hAnsi="Arial" w:cs="Arial"/>
                <w:i/>
                <w:sz w:val="20"/>
                <w:szCs w:val="20"/>
                <w:lang w:val="en-GB"/>
              </w:rPr>
            </w:pPr>
            <w:r w:rsidRPr="006019DB">
              <w:rPr>
                <w:rFonts w:ascii="Arial" w:hAnsi="Arial" w:cs="Arial"/>
                <w:i/>
                <w:sz w:val="20"/>
                <w:szCs w:val="20"/>
                <w:lang w:val="en-GB"/>
              </w:rPr>
              <w:t xml:space="preserve"> - CSEM provides effective platform to convene global and country CSOs.</w:t>
            </w:r>
          </w:p>
          <w:p w14:paraId="5CD32E9D" w14:textId="77777777" w:rsidR="00E95A93" w:rsidRPr="006019DB" w:rsidRDefault="00E95A93" w:rsidP="00E95A93">
            <w:pPr>
              <w:spacing w:after="80"/>
              <w:ind w:left="432"/>
              <w:rPr>
                <w:rFonts w:ascii="Arial" w:hAnsi="Arial" w:cs="Arial"/>
                <w:i/>
                <w:sz w:val="20"/>
                <w:szCs w:val="20"/>
                <w:lang w:val="en-GB"/>
              </w:rPr>
            </w:pPr>
            <w:r w:rsidRPr="006019DB">
              <w:rPr>
                <w:rFonts w:ascii="Arial" w:hAnsi="Arial" w:cs="Arial"/>
                <w:i/>
                <w:sz w:val="20"/>
                <w:szCs w:val="20"/>
                <w:lang w:val="en-GB"/>
              </w:rPr>
              <w:t>- Private Sector Constituency facilitates effective engagement and collaboration.</w:t>
            </w:r>
          </w:p>
          <w:p w14:paraId="2CB01E5E" w14:textId="77777777" w:rsidR="00E95A93" w:rsidRPr="006019DB" w:rsidRDefault="00E95A93" w:rsidP="00E95A93">
            <w:pPr>
              <w:spacing w:after="120"/>
              <w:ind w:left="432"/>
              <w:rPr>
                <w:i/>
                <w:lang w:val="en-GB"/>
              </w:rPr>
            </w:pPr>
            <w:r w:rsidRPr="006019DB">
              <w:rPr>
                <w:rFonts w:ascii="Arial" w:hAnsi="Arial" w:cs="Arial"/>
                <w:i/>
                <w:sz w:val="20"/>
                <w:szCs w:val="20"/>
                <w:lang w:val="en-GB"/>
              </w:rPr>
              <w:t>- Well-run Related Initiatives network (info shared, collaborations identified)</w:t>
            </w:r>
          </w:p>
        </w:tc>
        <w:tc>
          <w:tcPr>
            <w:tcW w:w="9656" w:type="dxa"/>
          </w:tcPr>
          <w:p w14:paraId="64B4DB9D" w14:textId="77777777" w:rsidR="001F16B4" w:rsidRDefault="00E95A93" w:rsidP="00E95A93">
            <w:pPr>
              <w:rPr>
                <w:b/>
                <w:lang w:val="en-GB"/>
              </w:rPr>
            </w:pPr>
            <w:r>
              <w:rPr>
                <w:b/>
                <w:u w:val="single"/>
                <w:lang w:val="en-GB"/>
              </w:rPr>
              <w:t>Progress:</w:t>
            </w:r>
            <w:r>
              <w:rPr>
                <w:lang w:val="en-GB"/>
              </w:rPr>
              <w:t xml:space="preserve"> </w:t>
            </w:r>
            <w:r w:rsidRPr="0083068F">
              <w:rPr>
                <w:b/>
                <w:lang w:val="en-GB"/>
              </w:rPr>
              <w:t>On track</w:t>
            </w:r>
          </w:p>
          <w:p w14:paraId="392070E3" w14:textId="77777777" w:rsidR="001F16B4" w:rsidRDefault="00E95A93" w:rsidP="001F16B4">
            <w:pPr>
              <w:pStyle w:val="ListParagraph"/>
              <w:numPr>
                <w:ilvl w:val="0"/>
                <w:numId w:val="7"/>
              </w:numPr>
              <w:ind w:left="360"/>
            </w:pPr>
            <w:r w:rsidRPr="001F16B4">
              <w:rPr>
                <w:b/>
              </w:rPr>
              <w:t>Civil Society Calls to Action for COVID-19 developed through an open consultative process</w:t>
            </w:r>
            <w:r w:rsidRPr="001F16B4">
              <w:t xml:space="preserve">. The CSEM’s new advisory </w:t>
            </w:r>
            <w:proofErr w:type="gramStart"/>
            <w:r w:rsidRPr="001F16B4">
              <w:t>group  is</w:t>
            </w:r>
            <w:proofErr w:type="gramEnd"/>
            <w:r w:rsidRPr="001F16B4">
              <w:t xml:space="preserve"> on board and operational and helped </w:t>
            </w:r>
            <w:proofErr w:type="spellStart"/>
            <w:r w:rsidRPr="001F16B4">
              <w:t>mobilise</w:t>
            </w:r>
            <w:proofErr w:type="spellEnd"/>
            <w:r w:rsidRPr="001F16B4">
              <w:t xml:space="preserve"> a broad range of civil society behind these common advocacy messages. The CSEM grew to more than members representing 916 organizations from more than 100 countries. Members were engaged through a listserv, monthly newsletters, online discussion forums on specific issues, and social media.</w:t>
            </w:r>
          </w:p>
          <w:p w14:paraId="02798696" w14:textId="77777777" w:rsidR="001F16B4" w:rsidRDefault="00E95A93" w:rsidP="001F16B4">
            <w:pPr>
              <w:pStyle w:val="ListParagraph"/>
              <w:numPr>
                <w:ilvl w:val="0"/>
                <w:numId w:val="7"/>
              </w:numPr>
              <w:ind w:left="360"/>
            </w:pPr>
            <w:r w:rsidRPr="001F16B4">
              <w:rPr>
                <w:b/>
              </w:rPr>
              <w:t xml:space="preserve">Agreed plans for follow-up on the Private Sector Constituency’s HLM </w:t>
            </w:r>
            <w:proofErr w:type="gramStart"/>
            <w:r w:rsidRPr="001F16B4">
              <w:rPr>
                <w:b/>
              </w:rPr>
              <w:t>statement</w:t>
            </w:r>
            <w:r w:rsidRPr="001F16B4">
              <w:t xml:space="preserve">  and</w:t>
            </w:r>
            <w:proofErr w:type="gramEnd"/>
            <w:r w:rsidRPr="001F16B4">
              <w:t xml:space="preserve"> transition hosting arrangements (successor to World Economic Forum) have been agreed.</w:t>
            </w:r>
          </w:p>
          <w:p w14:paraId="58221C6B" w14:textId="31E3928A" w:rsidR="00E95A93" w:rsidRPr="001F16B4" w:rsidRDefault="00E95A93" w:rsidP="001F16B4">
            <w:pPr>
              <w:pStyle w:val="ListParagraph"/>
              <w:numPr>
                <w:ilvl w:val="0"/>
                <w:numId w:val="7"/>
              </w:numPr>
              <w:ind w:left="360"/>
            </w:pPr>
            <w:r w:rsidRPr="001F16B4">
              <w:rPr>
                <w:b/>
              </w:rPr>
              <w:t>UHC2030 Related Initiatives mobilized</w:t>
            </w:r>
            <w:r w:rsidRPr="001F16B4">
              <w:t xml:space="preserve"> around </w:t>
            </w:r>
            <w:hyperlink r:id="rId36" w:history="1">
              <w:r w:rsidRPr="001F16B4">
                <w:rPr>
                  <w:rStyle w:val="Hyperlink"/>
                </w:rPr>
                <w:t>joint info pack</w:t>
              </w:r>
            </w:hyperlink>
            <w:r w:rsidRPr="001F16B4">
              <w:t xml:space="preserve">, </w:t>
            </w:r>
            <w:hyperlink r:id="rId37" w:history="1">
              <w:r w:rsidRPr="001F16B4">
                <w:rPr>
                  <w:rStyle w:val="Hyperlink"/>
                </w:rPr>
                <w:t>messaging on health systems and COVID-19</w:t>
              </w:r>
            </w:hyperlink>
            <w:r w:rsidRPr="001F16B4">
              <w:t xml:space="preserve">, and blog series on COVID-19 and health systems. The </w:t>
            </w:r>
            <w:hyperlink r:id="rId38" w:history="1">
              <w:r w:rsidRPr="001F16B4">
                <w:rPr>
                  <w:rStyle w:val="Hyperlink"/>
                </w:rPr>
                <w:t>joint event on resilient health systems</w:t>
              </w:r>
            </w:hyperlink>
            <w:r w:rsidRPr="001F16B4">
              <w:t xml:space="preserve"> at the Health Systems Symposium session made the case for collective action on common goods for health.</w:t>
            </w:r>
          </w:p>
        </w:tc>
      </w:tr>
      <w:tr w:rsidR="00E95A93" w:rsidRPr="001F79FC" w14:paraId="54045843" w14:textId="77777777" w:rsidTr="001F16B4">
        <w:tc>
          <w:tcPr>
            <w:tcW w:w="0" w:type="auto"/>
          </w:tcPr>
          <w:p w14:paraId="03ABED89" w14:textId="77777777" w:rsidR="00E95A93" w:rsidRDefault="00E95A93" w:rsidP="00E95A93">
            <w:pPr>
              <w:ind w:left="432"/>
              <w:rPr>
                <w:b/>
                <w:sz w:val="24"/>
              </w:rPr>
            </w:pPr>
            <w:r w:rsidRPr="004D7F9A">
              <w:rPr>
                <w:b/>
                <w:sz w:val="24"/>
              </w:rPr>
              <w:t>3.2 Knowledge and learning</w:t>
            </w:r>
          </w:p>
          <w:p w14:paraId="75C44B8D" w14:textId="77777777" w:rsidR="00E95A93" w:rsidRDefault="00E95A93" w:rsidP="00E95A93">
            <w:pPr>
              <w:ind w:left="432"/>
              <w:rPr>
                <w:b/>
                <w:sz w:val="24"/>
              </w:rPr>
            </w:pPr>
          </w:p>
          <w:p w14:paraId="06935590" w14:textId="77777777" w:rsidR="00E95A93" w:rsidRDefault="00E95A93" w:rsidP="00E95A93">
            <w:pPr>
              <w:spacing w:after="80"/>
              <w:ind w:left="432"/>
              <w:rPr>
                <w:rFonts w:ascii="Arial" w:hAnsi="Arial" w:cs="Arial"/>
                <w:sz w:val="20"/>
                <w:szCs w:val="20"/>
                <w:lang w:val="en-GB"/>
              </w:rPr>
            </w:pPr>
            <w:bookmarkStart w:id="4" w:name="_Hlk35422073"/>
            <w:r>
              <w:rPr>
                <w:rFonts w:ascii="Arial" w:hAnsi="Arial" w:cs="Arial"/>
                <w:sz w:val="20"/>
                <w:szCs w:val="20"/>
                <w:lang w:val="en-GB"/>
              </w:rPr>
              <w:t>Promote emergent knowledge and learning, ensuring relevant offerings for different country contexts.</w:t>
            </w:r>
            <w:bookmarkEnd w:id="4"/>
          </w:p>
          <w:p w14:paraId="5D463A2C" w14:textId="77777777" w:rsidR="00E95A93" w:rsidRPr="00F04152" w:rsidRDefault="00E95A93" w:rsidP="00E95A93">
            <w:pPr>
              <w:ind w:left="432"/>
              <w:rPr>
                <w:b/>
                <w:lang w:val="en-GB"/>
              </w:rPr>
            </w:pPr>
          </w:p>
        </w:tc>
        <w:tc>
          <w:tcPr>
            <w:tcW w:w="2965" w:type="dxa"/>
          </w:tcPr>
          <w:p w14:paraId="6A32810C" w14:textId="77777777" w:rsidR="00E95A93" w:rsidRPr="006019DB" w:rsidRDefault="00E95A93" w:rsidP="00E95A93">
            <w:pPr>
              <w:spacing w:after="120"/>
              <w:ind w:left="432"/>
              <w:rPr>
                <w:i/>
              </w:rPr>
            </w:pPr>
          </w:p>
          <w:p w14:paraId="2E8DAC1C" w14:textId="77777777" w:rsidR="00E95A93" w:rsidRPr="006019DB" w:rsidRDefault="00E95A93" w:rsidP="00E95A93">
            <w:pPr>
              <w:spacing w:after="80"/>
              <w:ind w:left="432" w:hanging="216"/>
              <w:rPr>
                <w:rFonts w:ascii="Arial" w:hAnsi="Arial" w:cs="Arial"/>
                <w:i/>
                <w:sz w:val="20"/>
                <w:szCs w:val="20"/>
                <w:lang w:val="en-GB"/>
              </w:rPr>
            </w:pPr>
            <w:r w:rsidRPr="006019DB">
              <w:rPr>
                <w:rFonts w:ascii="Arial" w:hAnsi="Arial" w:cs="Arial"/>
                <w:i/>
                <w:sz w:val="20"/>
                <w:szCs w:val="20"/>
                <w:lang w:val="en-GB"/>
              </w:rPr>
              <w:t>- New initiatives use UHC2030 platform</w:t>
            </w:r>
          </w:p>
          <w:p w14:paraId="0C108697" w14:textId="77777777" w:rsidR="00E95A93" w:rsidRPr="006019DB" w:rsidRDefault="00E95A93" w:rsidP="00E95A93">
            <w:pPr>
              <w:spacing w:after="80"/>
              <w:ind w:left="432" w:hanging="216"/>
              <w:rPr>
                <w:rFonts w:ascii="Arial" w:hAnsi="Arial" w:cs="Arial"/>
                <w:i/>
                <w:sz w:val="20"/>
                <w:szCs w:val="20"/>
                <w:lang w:val="en-GB"/>
              </w:rPr>
            </w:pPr>
            <w:r w:rsidRPr="006019DB">
              <w:rPr>
                <w:rFonts w:ascii="Arial" w:hAnsi="Arial" w:cs="Arial"/>
                <w:i/>
                <w:sz w:val="20"/>
                <w:szCs w:val="20"/>
                <w:lang w:val="en-GB"/>
              </w:rPr>
              <w:t>- Knowledge/learning is relevant to different country contexts (low/middle/high income, fragile)</w:t>
            </w:r>
          </w:p>
          <w:p w14:paraId="71080F37" w14:textId="77777777" w:rsidR="00E95A93" w:rsidRPr="006019DB" w:rsidRDefault="00E95A93" w:rsidP="00E95A93">
            <w:pPr>
              <w:spacing w:after="80"/>
              <w:ind w:left="432" w:hanging="216"/>
              <w:rPr>
                <w:rFonts w:ascii="Arial" w:hAnsi="Arial" w:cs="Arial"/>
                <w:i/>
                <w:sz w:val="20"/>
                <w:szCs w:val="20"/>
                <w:lang w:val="en-GB"/>
              </w:rPr>
            </w:pPr>
            <w:r w:rsidRPr="006019DB">
              <w:rPr>
                <w:rFonts w:ascii="Arial" w:hAnsi="Arial" w:cs="Arial"/>
                <w:i/>
                <w:sz w:val="20"/>
                <w:szCs w:val="20"/>
                <w:lang w:val="en-GB"/>
              </w:rPr>
              <w:t>- UHC2030 thought leadership recognised</w:t>
            </w:r>
          </w:p>
          <w:p w14:paraId="5D3CB24E" w14:textId="77777777" w:rsidR="00E95A93" w:rsidRPr="006019DB" w:rsidRDefault="00E95A93" w:rsidP="00E95A93">
            <w:pPr>
              <w:spacing w:after="120"/>
              <w:ind w:left="432" w:hanging="216"/>
              <w:rPr>
                <w:rFonts w:cstheme="minorHAnsi"/>
                <w:i/>
                <w:lang w:val="en-GB"/>
              </w:rPr>
            </w:pPr>
            <w:r w:rsidRPr="006019DB">
              <w:rPr>
                <w:rFonts w:ascii="Arial" w:hAnsi="Arial" w:cs="Arial"/>
                <w:i/>
                <w:sz w:val="20"/>
                <w:szCs w:val="20"/>
                <w:lang w:val="en-GB"/>
              </w:rPr>
              <w:t>- Knowledge hub used by intended audiences; sustainable future identified.</w:t>
            </w:r>
          </w:p>
        </w:tc>
        <w:tc>
          <w:tcPr>
            <w:tcW w:w="9656" w:type="dxa"/>
          </w:tcPr>
          <w:p w14:paraId="7C9147F4" w14:textId="77777777" w:rsidR="00E95A93" w:rsidRPr="0069789A" w:rsidRDefault="00E95A93" w:rsidP="00E95A93">
            <w:pPr>
              <w:rPr>
                <w:b/>
              </w:rPr>
            </w:pPr>
            <w:r>
              <w:rPr>
                <w:b/>
                <w:u w:val="single"/>
              </w:rPr>
              <w:t>Progress:</w:t>
            </w:r>
            <w:r>
              <w:t xml:space="preserve"> </w:t>
            </w:r>
            <w:r w:rsidRPr="00094FF7">
              <w:rPr>
                <w:b/>
              </w:rPr>
              <w:t xml:space="preserve">UHC data portal </w:t>
            </w:r>
            <w:r>
              <w:rPr>
                <w:b/>
              </w:rPr>
              <w:t xml:space="preserve">launched </w:t>
            </w:r>
            <w:r w:rsidRPr="00094FF7">
              <w:rPr>
                <w:b/>
              </w:rPr>
              <w:t xml:space="preserve">and </w:t>
            </w:r>
            <w:r>
              <w:rPr>
                <w:b/>
              </w:rPr>
              <w:t xml:space="preserve">messages disseminated through </w:t>
            </w:r>
            <w:r w:rsidRPr="00094FF7">
              <w:rPr>
                <w:b/>
              </w:rPr>
              <w:t>multiple blogs/papers</w:t>
            </w:r>
            <w:r>
              <w:rPr>
                <w:b/>
              </w:rPr>
              <w:t>, follow-up on knowledge hub and PHC platform on hold</w:t>
            </w:r>
          </w:p>
          <w:p w14:paraId="67CF3301" w14:textId="77777777" w:rsidR="001F16B4" w:rsidRDefault="00E95A93" w:rsidP="001F16B4">
            <w:pPr>
              <w:pStyle w:val="ListParagraph"/>
              <w:numPr>
                <w:ilvl w:val="0"/>
                <w:numId w:val="8"/>
              </w:numPr>
            </w:pPr>
            <w:hyperlink r:id="rId39" w:history="1">
              <w:r w:rsidRPr="001F16B4">
                <w:rPr>
                  <w:rStyle w:val="Hyperlink"/>
                  <w:b/>
                </w:rPr>
                <w:t>UHC data portal</w:t>
              </w:r>
            </w:hyperlink>
            <w:r w:rsidRPr="001F16B4">
              <w:rPr>
                <w:b/>
              </w:rPr>
              <w:t xml:space="preserve"> launched on UHC2030 website</w:t>
            </w:r>
            <w:r w:rsidRPr="001F16B4">
              <w:t xml:space="preserve">: a </w:t>
            </w:r>
            <w:proofErr w:type="gramStart"/>
            <w:r w:rsidRPr="001F16B4">
              <w:t>single entry</w:t>
            </w:r>
            <w:proofErr w:type="gramEnd"/>
            <w:r w:rsidRPr="001F16B4">
              <w:t xml:space="preserve"> point for access to multiple databases, including state of UHC commitment’s country profiles for all member states.</w:t>
            </w:r>
          </w:p>
          <w:p w14:paraId="33B1279C" w14:textId="77777777" w:rsidR="001F16B4" w:rsidRPr="001F16B4" w:rsidRDefault="00E95A93" w:rsidP="001F16B4">
            <w:pPr>
              <w:pStyle w:val="ListParagraph"/>
              <w:numPr>
                <w:ilvl w:val="0"/>
                <w:numId w:val="8"/>
              </w:numPr>
              <w:rPr>
                <w:rStyle w:val="Hyperlink"/>
                <w:color w:val="auto"/>
                <w:u w:val="none"/>
              </w:rPr>
            </w:pPr>
            <w:r w:rsidRPr="001F16B4">
              <w:rPr>
                <w:b/>
              </w:rPr>
              <w:t xml:space="preserve">Substantive blogs/papers from the Secretariat and different constituencies: </w:t>
            </w:r>
            <w:hyperlink r:id="rId40" w:history="1">
              <w:r w:rsidRPr="001F16B4">
                <w:rPr>
                  <w:rStyle w:val="Hyperlink"/>
                </w:rPr>
                <w:t>People left behind in decision-making on COVID-19</w:t>
              </w:r>
            </w:hyperlink>
            <w:r w:rsidRPr="001F16B4">
              <w:t xml:space="preserve">, </w:t>
            </w:r>
            <w:hyperlink r:id="rId41" w:history="1">
              <w:r w:rsidRPr="001F16B4">
                <w:rPr>
                  <w:rStyle w:val="Hyperlink"/>
                  <w:rFonts w:eastAsia="Georgia" w:cstheme="minorHAnsi"/>
                </w:rPr>
                <w:t>Governance of COVID-19  Response: A Call for More Inclusive Transparent Decision Making</w:t>
              </w:r>
            </w:hyperlink>
            <w:r w:rsidRPr="001F16B4">
              <w:rPr>
                <w:rStyle w:val="Hyperlink"/>
                <w:rFonts w:eastAsia="Georgia" w:cstheme="minorHAnsi"/>
              </w:rPr>
              <w:t>,</w:t>
            </w:r>
            <w:r w:rsidRPr="001F16B4">
              <w:t xml:space="preserve"> </w:t>
            </w:r>
            <w:hyperlink r:id="rId42" w:history="1">
              <w:r w:rsidRPr="001F16B4">
                <w:rPr>
                  <w:rStyle w:val="Hyperlink"/>
                </w:rPr>
                <w:t>Access and innovation in private sector response to COVID-19</w:t>
              </w:r>
            </w:hyperlink>
            <w:r w:rsidRPr="001F16B4">
              <w:t xml:space="preserve">, </w:t>
            </w:r>
            <w:hyperlink r:id="rId43" w:history="1">
              <w:r w:rsidRPr="001F16B4">
                <w:rPr>
                  <w:rStyle w:val="Hyperlink"/>
                </w:rPr>
                <w:t>COVID-19 reshaping priorities for domestic resources and development assistance</w:t>
              </w:r>
            </w:hyperlink>
            <w:r w:rsidRPr="001F16B4">
              <w:t xml:space="preserve">, </w:t>
            </w:r>
            <w:hyperlink r:id="rId44" w:history="1">
              <w:r w:rsidRPr="001F16B4">
                <w:rPr>
                  <w:rStyle w:val="Hyperlink"/>
                </w:rPr>
                <w:t>Discussion paper on emergencies and UHC</w:t>
              </w:r>
            </w:hyperlink>
            <w:r w:rsidRPr="001F16B4">
              <w:t xml:space="preserve"> (and follow-up actions), </w:t>
            </w:r>
            <w:hyperlink r:id="rId45" w:tgtFrame="_blank" w:history="1">
              <w:r w:rsidRPr="001F16B4">
                <w:rPr>
                  <w:rStyle w:val="Hyperlink"/>
                </w:rPr>
                <w:t>The health and economic impacts of Covid-19 containment strategies on the most left behind: Recommendations for how we can build back better, strong and more resilient health and economic systems</w:t>
              </w:r>
            </w:hyperlink>
            <w:r w:rsidRPr="001F16B4">
              <w:t xml:space="preserve">, </w:t>
            </w:r>
            <w:hyperlink r:id="rId46" w:history="1">
              <w:r w:rsidRPr="001F16B4">
                <w:rPr>
                  <w:rStyle w:val="Hyperlink"/>
                </w:rPr>
                <w:t>For an equitable COVID-19 response, investments in civil society cannot wait</w:t>
              </w:r>
            </w:hyperlink>
            <w:r w:rsidRPr="001F16B4">
              <w:t xml:space="preserve">, </w:t>
            </w:r>
            <w:hyperlink r:id="rId47" w:history="1">
              <w:r w:rsidRPr="001F16B4">
                <w:rPr>
                  <w:rStyle w:val="Hyperlink"/>
                  <w:rFonts w:eastAsia="Georgia" w:cstheme="minorHAnsi"/>
                </w:rPr>
                <w:t>COVID-19: A Test for Political Leaders to Truly Leave No One Behind</w:t>
              </w:r>
            </w:hyperlink>
            <w:r w:rsidRPr="001F16B4">
              <w:rPr>
                <w:rStyle w:val="Hyperlink"/>
                <w:rFonts w:eastAsia="Georgia" w:cstheme="minorHAnsi"/>
              </w:rPr>
              <w:t>, etc.</w:t>
            </w:r>
          </w:p>
          <w:p w14:paraId="7E9EB3AE" w14:textId="77777777" w:rsidR="001F16B4" w:rsidRDefault="00E95A93" w:rsidP="001F16B4">
            <w:pPr>
              <w:pStyle w:val="ListParagraph"/>
              <w:numPr>
                <w:ilvl w:val="0"/>
                <w:numId w:val="8"/>
              </w:numPr>
            </w:pPr>
            <w:r w:rsidRPr="001F16B4">
              <w:rPr>
                <w:b/>
              </w:rPr>
              <w:t>Follow-up on Knowledge Hub</w:t>
            </w:r>
            <w:r w:rsidRPr="001F16B4">
              <w:t xml:space="preserve"> put on hold due to lack of funding.</w:t>
            </w:r>
          </w:p>
          <w:p w14:paraId="4FC12806" w14:textId="77777777" w:rsidR="001F16B4" w:rsidRDefault="00E95A93" w:rsidP="001F16B4">
            <w:pPr>
              <w:pStyle w:val="ListParagraph"/>
              <w:numPr>
                <w:ilvl w:val="0"/>
                <w:numId w:val="8"/>
              </w:numPr>
            </w:pPr>
            <w:r w:rsidRPr="001F16B4">
              <w:rPr>
                <w:b/>
              </w:rPr>
              <w:t>PHC collaborative and knowledge platform</w:t>
            </w:r>
            <w:r w:rsidRPr="001F16B4">
              <w:t xml:space="preserve"> on hold</w:t>
            </w:r>
          </w:p>
          <w:p w14:paraId="5EA4C2B8" w14:textId="77777777" w:rsidR="001F16B4" w:rsidRDefault="00E95A93" w:rsidP="001F16B4">
            <w:pPr>
              <w:pStyle w:val="ListParagraph"/>
              <w:numPr>
                <w:ilvl w:val="0"/>
                <w:numId w:val="8"/>
              </w:numPr>
            </w:pPr>
            <w:r w:rsidRPr="001F16B4">
              <w:t>UHC2030 platform being used for civil society and private sector engagement by ACT-A Health Systems Accelerator partner.</w:t>
            </w:r>
          </w:p>
          <w:p w14:paraId="456BCF81" w14:textId="166FEB5B" w:rsidR="001F16B4" w:rsidRPr="001F16B4" w:rsidRDefault="001F16B4" w:rsidP="001F16B4">
            <w:pPr>
              <w:pStyle w:val="ListParagraph"/>
              <w:ind w:left="360"/>
            </w:pPr>
          </w:p>
        </w:tc>
      </w:tr>
      <w:tr w:rsidR="00E95A93" w:rsidRPr="006019DB" w14:paraId="2C0B08FB" w14:textId="77777777" w:rsidTr="001F16B4">
        <w:trPr>
          <w:trHeight w:val="278"/>
        </w:trPr>
        <w:tc>
          <w:tcPr>
            <w:tcW w:w="14845" w:type="dxa"/>
            <w:gridSpan w:val="3"/>
          </w:tcPr>
          <w:p w14:paraId="45BAD85C" w14:textId="7CDD129E" w:rsidR="00E95A93" w:rsidRPr="006019DB" w:rsidRDefault="00E95A93" w:rsidP="00E95A93">
            <w:pPr>
              <w:ind w:left="432"/>
              <w:rPr>
                <w:b/>
                <w:i/>
              </w:rPr>
            </w:pPr>
            <w:r w:rsidRPr="006019DB">
              <w:rPr>
                <w:rFonts w:ascii="Arial" w:hAnsi="Arial" w:cs="Arial"/>
                <w:b/>
                <w:i/>
                <w:lang w:val="en-GB"/>
              </w:rPr>
              <w:t>Output 4: UHC2030 GOVERNANCE AND OPERATIONS</w:t>
            </w:r>
          </w:p>
        </w:tc>
      </w:tr>
      <w:tr w:rsidR="00E95A93" w:rsidRPr="00A26246" w14:paraId="2FE93CD2" w14:textId="77777777" w:rsidTr="001F16B4">
        <w:trPr>
          <w:trHeight w:val="1187"/>
        </w:trPr>
        <w:tc>
          <w:tcPr>
            <w:tcW w:w="0" w:type="auto"/>
          </w:tcPr>
          <w:p w14:paraId="3E644A91" w14:textId="77777777" w:rsidR="00E95A93" w:rsidRDefault="00E95A93" w:rsidP="00E95A93">
            <w:pPr>
              <w:ind w:left="432"/>
              <w:rPr>
                <w:b/>
                <w:sz w:val="24"/>
              </w:rPr>
            </w:pPr>
            <w:r w:rsidRPr="00A26246">
              <w:rPr>
                <w:b/>
                <w:sz w:val="24"/>
              </w:rPr>
              <w:t xml:space="preserve">4.1 Vision </w:t>
            </w:r>
          </w:p>
          <w:p w14:paraId="288D7E29" w14:textId="77777777" w:rsidR="00E95A93" w:rsidRDefault="00E95A93" w:rsidP="00E95A93">
            <w:pPr>
              <w:ind w:left="432"/>
              <w:rPr>
                <w:b/>
                <w:sz w:val="24"/>
              </w:rPr>
            </w:pPr>
          </w:p>
          <w:p w14:paraId="572DAA6F" w14:textId="77777777" w:rsidR="00E95A93" w:rsidRPr="00A26246" w:rsidRDefault="00E95A93" w:rsidP="00E95A93">
            <w:pPr>
              <w:ind w:left="432"/>
              <w:rPr>
                <w:b/>
              </w:rPr>
            </w:pPr>
            <w:r>
              <w:rPr>
                <w:rFonts w:ascii="Arial" w:hAnsi="Arial" w:cs="Arial"/>
                <w:sz w:val="20"/>
                <w:szCs w:val="20"/>
                <w:lang w:val="en-GB"/>
              </w:rPr>
              <w:t xml:space="preserve">Ensure relevant strategic focus </w:t>
            </w:r>
          </w:p>
        </w:tc>
        <w:tc>
          <w:tcPr>
            <w:tcW w:w="2965" w:type="dxa"/>
            <w:vMerge w:val="restart"/>
          </w:tcPr>
          <w:p w14:paraId="0DF03F5E" w14:textId="77777777" w:rsidR="00E95A93" w:rsidRPr="006019DB" w:rsidRDefault="00E95A93" w:rsidP="00E95A93">
            <w:pPr>
              <w:pStyle w:val="ListParagraph"/>
              <w:spacing w:after="80"/>
              <w:ind w:left="432"/>
              <w:rPr>
                <w:rFonts w:ascii="Arial" w:hAnsi="Arial" w:cs="Arial"/>
                <w:i/>
                <w:sz w:val="20"/>
                <w:szCs w:val="20"/>
                <w:lang w:val="en-GB"/>
              </w:rPr>
            </w:pPr>
          </w:p>
          <w:p w14:paraId="54BBA0DC" w14:textId="77777777" w:rsidR="00E95A93" w:rsidRPr="006019DB" w:rsidRDefault="00E95A93" w:rsidP="001F16B4">
            <w:pPr>
              <w:pStyle w:val="ListParagraph"/>
              <w:numPr>
                <w:ilvl w:val="0"/>
                <w:numId w:val="2"/>
              </w:numPr>
              <w:spacing w:after="80"/>
              <w:ind w:left="432" w:hanging="216"/>
              <w:rPr>
                <w:rFonts w:ascii="Arial" w:hAnsi="Arial" w:cs="Arial"/>
                <w:i/>
                <w:sz w:val="20"/>
                <w:szCs w:val="20"/>
                <w:lang w:val="en-GB"/>
              </w:rPr>
            </w:pPr>
            <w:r w:rsidRPr="006019DB">
              <w:rPr>
                <w:rFonts w:ascii="Arial" w:hAnsi="Arial" w:cs="Arial"/>
                <w:i/>
                <w:sz w:val="20"/>
                <w:szCs w:val="20"/>
                <w:lang w:val="en-GB"/>
              </w:rPr>
              <w:t>Appropriate strategic direction that ensures the partnership remains relevant and results-focused</w:t>
            </w:r>
          </w:p>
          <w:p w14:paraId="3D16FC1A" w14:textId="77777777" w:rsidR="00E95A93" w:rsidRPr="006019DB" w:rsidRDefault="00E95A93" w:rsidP="001F16B4">
            <w:pPr>
              <w:pStyle w:val="ListParagraph"/>
              <w:numPr>
                <w:ilvl w:val="0"/>
                <w:numId w:val="2"/>
              </w:numPr>
              <w:spacing w:after="80"/>
              <w:ind w:left="432" w:hanging="216"/>
              <w:rPr>
                <w:rFonts w:ascii="Arial" w:hAnsi="Arial" w:cs="Arial"/>
                <w:i/>
                <w:sz w:val="20"/>
                <w:szCs w:val="20"/>
                <w:lang w:val="en-GB"/>
              </w:rPr>
            </w:pPr>
            <w:r w:rsidRPr="006019DB">
              <w:rPr>
                <w:rFonts w:ascii="Arial" w:hAnsi="Arial" w:cs="Arial"/>
                <w:i/>
                <w:sz w:val="20"/>
                <w:szCs w:val="20"/>
                <w:lang w:val="en-GB"/>
              </w:rPr>
              <w:t>Members kept engaged and up-to-date</w:t>
            </w:r>
          </w:p>
          <w:p w14:paraId="35D245AA" w14:textId="77777777" w:rsidR="00E95A93" w:rsidRPr="006019DB" w:rsidRDefault="00E95A93" w:rsidP="001F16B4">
            <w:pPr>
              <w:pStyle w:val="ListParagraph"/>
              <w:numPr>
                <w:ilvl w:val="0"/>
                <w:numId w:val="2"/>
              </w:numPr>
              <w:spacing w:after="80"/>
              <w:ind w:left="432" w:hanging="216"/>
              <w:rPr>
                <w:rFonts w:ascii="Arial" w:hAnsi="Arial" w:cs="Arial"/>
                <w:i/>
                <w:sz w:val="20"/>
                <w:szCs w:val="20"/>
                <w:lang w:val="en-GB"/>
              </w:rPr>
            </w:pPr>
            <w:r w:rsidRPr="006019DB">
              <w:rPr>
                <w:rFonts w:ascii="Arial" w:hAnsi="Arial" w:cs="Arial"/>
                <w:i/>
                <w:sz w:val="20"/>
                <w:szCs w:val="20"/>
                <w:lang w:val="en-GB"/>
              </w:rPr>
              <w:t>Effective structures, processes and resources mobilised to support outputs 1-3</w:t>
            </w:r>
          </w:p>
        </w:tc>
        <w:tc>
          <w:tcPr>
            <w:tcW w:w="9656" w:type="dxa"/>
          </w:tcPr>
          <w:p w14:paraId="763D4A57" w14:textId="77777777" w:rsidR="001F16B4" w:rsidRDefault="00E95A93" w:rsidP="001F16B4">
            <w:pPr>
              <w:pStyle w:val="ListParagraph"/>
              <w:numPr>
                <w:ilvl w:val="0"/>
                <w:numId w:val="9"/>
              </w:numPr>
              <w:ind w:left="360"/>
            </w:pPr>
            <w:r w:rsidRPr="001F16B4">
              <w:rPr>
                <w:b/>
              </w:rPr>
              <w:t xml:space="preserve">Narrative and strategic direction for stronger focus on health systems consolidated in the discussion paper on health emergencies and UHC.  </w:t>
            </w:r>
            <w:r w:rsidRPr="001F16B4">
              <w:t>Follow-up included translation of messages into communication products including UHC Day campaign and a series of blogs.</w:t>
            </w:r>
          </w:p>
          <w:p w14:paraId="235C8864" w14:textId="3488915C" w:rsidR="00E95A93" w:rsidRPr="001F16B4" w:rsidRDefault="00E95A93" w:rsidP="001F16B4">
            <w:pPr>
              <w:pStyle w:val="ListParagraph"/>
              <w:numPr>
                <w:ilvl w:val="0"/>
                <w:numId w:val="9"/>
              </w:numPr>
              <w:ind w:left="360"/>
            </w:pPr>
            <w:r w:rsidRPr="001F16B4">
              <w:rPr>
                <w:b/>
              </w:rPr>
              <w:t>Partners kept updated</w:t>
            </w:r>
            <w:r w:rsidRPr="001F16B4">
              <w:t xml:space="preserve"> through regular newsletters, web updates, Twitter.</w:t>
            </w:r>
          </w:p>
        </w:tc>
      </w:tr>
      <w:tr w:rsidR="00E95A93" w:rsidRPr="001077A3" w14:paraId="08C6E566" w14:textId="77777777" w:rsidTr="001F16B4">
        <w:trPr>
          <w:trHeight w:val="1700"/>
        </w:trPr>
        <w:tc>
          <w:tcPr>
            <w:tcW w:w="0" w:type="auto"/>
          </w:tcPr>
          <w:p w14:paraId="21CF0B9F" w14:textId="77777777" w:rsidR="00E95A93" w:rsidRDefault="00E95A93" w:rsidP="00E95A93">
            <w:pPr>
              <w:ind w:left="432"/>
              <w:rPr>
                <w:b/>
                <w:sz w:val="24"/>
                <w:szCs w:val="24"/>
              </w:rPr>
            </w:pPr>
            <w:r w:rsidRPr="00A26246">
              <w:rPr>
                <w:b/>
                <w:sz w:val="24"/>
                <w:szCs w:val="24"/>
              </w:rPr>
              <w:t>4.2 Governance</w:t>
            </w:r>
          </w:p>
          <w:p w14:paraId="1EFDA99B" w14:textId="77777777" w:rsidR="00E95A93" w:rsidRDefault="00E95A93" w:rsidP="00E95A93">
            <w:pPr>
              <w:ind w:left="432"/>
              <w:rPr>
                <w:b/>
                <w:sz w:val="24"/>
                <w:szCs w:val="24"/>
              </w:rPr>
            </w:pPr>
          </w:p>
          <w:p w14:paraId="046066CB" w14:textId="77777777" w:rsidR="00E95A93" w:rsidRPr="00447C2A" w:rsidRDefault="00E95A93" w:rsidP="00E95A93">
            <w:pPr>
              <w:spacing w:after="80"/>
              <w:ind w:left="432"/>
              <w:rPr>
                <w:b/>
                <w:sz w:val="24"/>
                <w:szCs w:val="24"/>
                <w:lang w:val="en-GB"/>
              </w:rPr>
            </w:pPr>
            <w:r>
              <w:rPr>
                <w:rFonts w:ascii="Arial" w:hAnsi="Arial" w:cs="Arial"/>
                <w:sz w:val="20"/>
                <w:szCs w:val="20"/>
                <w:lang w:val="en-GB"/>
              </w:rPr>
              <w:t>Ensure transparent and effective governance</w:t>
            </w:r>
          </w:p>
        </w:tc>
        <w:tc>
          <w:tcPr>
            <w:tcW w:w="2965" w:type="dxa"/>
            <w:vMerge/>
          </w:tcPr>
          <w:p w14:paraId="0154382A" w14:textId="77777777" w:rsidR="00E95A93" w:rsidRPr="006019DB" w:rsidRDefault="00E95A93" w:rsidP="00E95A93">
            <w:pPr>
              <w:spacing w:after="120"/>
              <w:ind w:left="432"/>
              <w:rPr>
                <w:rFonts w:cstheme="minorHAnsi"/>
                <w:i/>
              </w:rPr>
            </w:pPr>
          </w:p>
        </w:tc>
        <w:tc>
          <w:tcPr>
            <w:tcW w:w="9656" w:type="dxa"/>
          </w:tcPr>
          <w:p w14:paraId="14EE40CF" w14:textId="77777777" w:rsidR="001F16B4" w:rsidRDefault="00E95A93" w:rsidP="001F16B4">
            <w:pPr>
              <w:pStyle w:val="ListParagraph"/>
              <w:numPr>
                <w:ilvl w:val="0"/>
                <w:numId w:val="10"/>
              </w:numPr>
              <w:ind w:left="360"/>
            </w:pPr>
            <w:r w:rsidRPr="001F16B4">
              <w:rPr>
                <w:b/>
              </w:rPr>
              <w:t>SC meetings and updates delivered to schedule, all UHC2030 constituencies represented</w:t>
            </w:r>
            <w:r w:rsidRPr="001F16B4">
              <w:t>. Follow-up on TORs for each constituency and progress made for changes in representation.</w:t>
            </w:r>
          </w:p>
          <w:p w14:paraId="09BB4D61" w14:textId="77777777" w:rsidR="001F16B4" w:rsidRDefault="00E95A93" w:rsidP="001F16B4">
            <w:pPr>
              <w:pStyle w:val="ListParagraph"/>
              <w:numPr>
                <w:ilvl w:val="0"/>
                <w:numId w:val="10"/>
              </w:numPr>
              <w:ind w:left="360"/>
            </w:pPr>
            <w:r w:rsidRPr="001F16B4">
              <w:rPr>
                <w:b/>
              </w:rPr>
              <w:t>Selection process for new co-chairs</w:t>
            </w:r>
            <w:r w:rsidRPr="001F16B4">
              <w:t xml:space="preserve"> completed successfully.</w:t>
            </w:r>
          </w:p>
          <w:p w14:paraId="2B94EF87" w14:textId="77777777" w:rsidR="001F16B4" w:rsidRDefault="00E95A93" w:rsidP="001F16B4">
            <w:pPr>
              <w:pStyle w:val="ListParagraph"/>
              <w:numPr>
                <w:ilvl w:val="0"/>
                <w:numId w:val="10"/>
              </w:numPr>
              <w:ind w:left="360"/>
            </w:pPr>
            <w:r w:rsidRPr="001F16B4">
              <w:rPr>
                <w:b/>
              </w:rPr>
              <w:t>Short-term plan to address immediate needs for 2020 and 2021 submitted for review by SC</w:t>
            </w:r>
            <w:r w:rsidRPr="001F16B4">
              <w:t xml:space="preserve"> in June with development of medium/long term strategy postponed to 2021.</w:t>
            </w:r>
          </w:p>
          <w:p w14:paraId="79533937" w14:textId="459977C7" w:rsidR="00E95A93" w:rsidRPr="001F16B4" w:rsidRDefault="00E95A93" w:rsidP="001F16B4">
            <w:pPr>
              <w:pStyle w:val="ListParagraph"/>
              <w:numPr>
                <w:ilvl w:val="0"/>
                <w:numId w:val="10"/>
              </w:numPr>
              <w:ind w:left="360"/>
            </w:pPr>
            <w:r w:rsidRPr="001F16B4">
              <w:rPr>
                <w:b/>
              </w:rPr>
              <w:t xml:space="preserve">Funding for base </w:t>
            </w:r>
            <w:proofErr w:type="spellStart"/>
            <w:r w:rsidRPr="001F16B4">
              <w:rPr>
                <w:b/>
              </w:rPr>
              <w:t>programme</w:t>
            </w:r>
            <w:proofErr w:type="spellEnd"/>
            <w:r w:rsidRPr="001F16B4">
              <w:rPr>
                <w:b/>
              </w:rPr>
              <w:t xml:space="preserve"> secured</w:t>
            </w:r>
            <w:r w:rsidRPr="001F16B4">
              <w:t xml:space="preserve">. Funding from Japan renewed in 2020 and new funding from France obtained for 2021. </w:t>
            </w:r>
          </w:p>
        </w:tc>
      </w:tr>
      <w:tr w:rsidR="00E95A93" w:rsidRPr="00447C2A" w14:paraId="434148FF" w14:textId="77777777" w:rsidTr="001F16B4">
        <w:trPr>
          <w:trHeight w:val="1430"/>
        </w:trPr>
        <w:tc>
          <w:tcPr>
            <w:tcW w:w="0" w:type="auto"/>
          </w:tcPr>
          <w:p w14:paraId="515B3B9E" w14:textId="77777777" w:rsidR="00E95A93" w:rsidRDefault="00E95A93" w:rsidP="00E95A93">
            <w:pPr>
              <w:ind w:left="432"/>
              <w:rPr>
                <w:b/>
                <w:sz w:val="24"/>
                <w:szCs w:val="24"/>
              </w:rPr>
            </w:pPr>
            <w:r w:rsidRPr="00A26246">
              <w:rPr>
                <w:b/>
                <w:sz w:val="24"/>
                <w:szCs w:val="24"/>
              </w:rPr>
              <w:t>4.</w:t>
            </w:r>
            <w:r>
              <w:rPr>
                <w:b/>
                <w:sz w:val="24"/>
                <w:szCs w:val="24"/>
              </w:rPr>
              <w:t xml:space="preserve">3 </w:t>
            </w:r>
            <w:r w:rsidRPr="00A26246">
              <w:rPr>
                <w:b/>
                <w:sz w:val="24"/>
                <w:szCs w:val="24"/>
              </w:rPr>
              <w:t>Secretariat</w:t>
            </w:r>
          </w:p>
          <w:p w14:paraId="340AF3C4" w14:textId="77777777" w:rsidR="00E95A93" w:rsidRDefault="00E95A93" w:rsidP="00E95A93">
            <w:pPr>
              <w:ind w:left="432"/>
              <w:rPr>
                <w:b/>
                <w:sz w:val="24"/>
                <w:szCs w:val="24"/>
              </w:rPr>
            </w:pPr>
          </w:p>
          <w:p w14:paraId="2336781A" w14:textId="77777777" w:rsidR="00E95A93" w:rsidRPr="00A26246" w:rsidRDefault="00E95A93" w:rsidP="00E95A93">
            <w:pPr>
              <w:ind w:left="432"/>
              <w:rPr>
                <w:b/>
                <w:sz w:val="24"/>
                <w:szCs w:val="24"/>
              </w:rPr>
            </w:pPr>
            <w:r>
              <w:rPr>
                <w:rFonts w:ascii="Arial" w:hAnsi="Arial" w:cs="Arial"/>
                <w:sz w:val="20"/>
                <w:szCs w:val="20"/>
                <w:lang w:val="en-GB"/>
              </w:rPr>
              <w:t xml:space="preserve">Ensure UHC2030 is managed well </w:t>
            </w:r>
          </w:p>
        </w:tc>
        <w:tc>
          <w:tcPr>
            <w:tcW w:w="2965" w:type="dxa"/>
            <w:vMerge/>
          </w:tcPr>
          <w:p w14:paraId="7BAA4560" w14:textId="77777777" w:rsidR="00E95A93" w:rsidRPr="006019DB" w:rsidRDefault="00E95A93" w:rsidP="00E95A93">
            <w:pPr>
              <w:spacing w:after="80"/>
              <w:ind w:left="432"/>
              <w:rPr>
                <w:rFonts w:ascii="Arial" w:hAnsi="Arial" w:cs="Arial"/>
                <w:i/>
                <w:sz w:val="20"/>
                <w:szCs w:val="20"/>
                <w:lang w:val="en-GB"/>
              </w:rPr>
            </w:pPr>
          </w:p>
        </w:tc>
        <w:tc>
          <w:tcPr>
            <w:tcW w:w="9656" w:type="dxa"/>
          </w:tcPr>
          <w:p w14:paraId="1641878C" w14:textId="77777777" w:rsidR="001F16B4" w:rsidRDefault="00E95A93" w:rsidP="001F16B4">
            <w:pPr>
              <w:pStyle w:val="ListParagraph"/>
              <w:numPr>
                <w:ilvl w:val="0"/>
                <w:numId w:val="11"/>
              </w:numPr>
              <w:ind w:left="360"/>
            </w:pPr>
            <w:r w:rsidRPr="001F16B4">
              <w:rPr>
                <w:b/>
              </w:rPr>
              <w:t xml:space="preserve">Core Team Report 2019 </w:t>
            </w:r>
            <w:proofErr w:type="spellStart"/>
            <w:r w:rsidRPr="001F16B4">
              <w:rPr>
                <w:b/>
              </w:rPr>
              <w:t>finalised</w:t>
            </w:r>
            <w:proofErr w:type="spellEnd"/>
            <w:r w:rsidRPr="001F16B4">
              <w:t xml:space="preserve"> and disseminated </w:t>
            </w:r>
            <w:proofErr w:type="spellStart"/>
            <w:r w:rsidRPr="001F16B4">
              <w:t>mid 2020</w:t>
            </w:r>
            <w:proofErr w:type="spellEnd"/>
            <w:r w:rsidRPr="001F16B4">
              <w:t>. Progress update shared with Steering Committee in June and important communications shared on a regular basis.</w:t>
            </w:r>
          </w:p>
          <w:p w14:paraId="0E0233BE" w14:textId="77777777" w:rsidR="001F16B4" w:rsidRDefault="00E95A93" w:rsidP="001F16B4">
            <w:pPr>
              <w:pStyle w:val="ListParagraph"/>
              <w:numPr>
                <w:ilvl w:val="0"/>
                <w:numId w:val="11"/>
              </w:numPr>
              <w:ind w:left="360"/>
            </w:pPr>
            <w:r w:rsidRPr="001F16B4">
              <w:rPr>
                <w:b/>
              </w:rPr>
              <w:t xml:space="preserve">Revised co-host administrative arrangements </w:t>
            </w:r>
            <w:r w:rsidRPr="001F16B4">
              <w:t xml:space="preserve">close to being finalized with on-going discussions with WHO, the World Bank and OECD. </w:t>
            </w:r>
          </w:p>
          <w:p w14:paraId="1DA0F770" w14:textId="01C8C38A" w:rsidR="00E95A93" w:rsidRPr="001F16B4" w:rsidRDefault="00E95A93" w:rsidP="001F16B4">
            <w:pPr>
              <w:pStyle w:val="ListParagraph"/>
              <w:numPr>
                <w:ilvl w:val="0"/>
                <w:numId w:val="11"/>
              </w:numPr>
              <w:ind w:left="360"/>
            </w:pPr>
            <w:r w:rsidRPr="001F16B4">
              <w:rPr>
                <w:b/>
              </w:rPr>
              <w:t>Day-to-day operations on track.</w:t>
            </w:r>
          </w:p>
        </w:tc>
      </w:tr>
    </w:tbl>
    <w:p w14:paraId="3CB8FB8D" w14:textId="77777777" w:rsidR="00E95A93" w:rsidRDefault="00E95A93" w:rsidP="007D25A9">
      <w:pPr>
        <w:pStyle w:val="Body"/>
        <w:spacing w:before="120" w:after="360" w:line="240" w:lineRule="auto"/>
        <w:ind w:left="567" w:hanging="567"/>
        <w:rPr>
          <w:rFonts w:ascii="Arial" w:hAnsi="Arial" w:cs="Arial"/>
          <w:b/>
          <w:bCs/>
          <w:color w:val="3A93C6"/>
          <w:sz w:val="24"/>
          <w:lang w:val="en-US"/>
        </w:rPr>
      </w:pPr>
    </w:p>
    <w:p w14:paraId="6EF2C349" w14:textId="77777777" w:rsidR="007D25A9" w:rsidRDefault="007D25A9" w:rsidP="007D25A9">
      <w:pPr>
        <w:pStyle w:val="Body"/>
        <w:spacing w:before="120" w:after="360" w:line="240" w:lineRule="auto"/>
        <w:ind w:left="567" w:hanging="567"/>
        <w:rPr>
          <w:rFonts w:ascii="Arial" w:hAnsi="Arial" w:cs="Arial"/>
          <w:b/>
          <w:bCs/>
          <w:color w:val="3A93C6"/>
          <w:sz w:val="24"/>
          <w:lang w:val="en-US"/>
        </w:rPr>
      </w:pPr>
    </w:p>
    <w:p w14:paraId="29E0CAB4" w14:textId="77777777" w:rsidR="007D25A9" w:rsidRDefault="007D25A9" w:rsidP="007D25A9">
      <w:pPr>
        <w:pStyle w:val="Body"/>
        <w:spacing w:before="120" w:after="360" w:line="240" w:lineRule="auto"/>
        <w:ind w:left="567" w:hanging="567"/>
        <w:rPr>
          <w:rFonts w:ascii="Arial" w:hAnsi="Arial" w:cs="Arial"/>
          <w:b/>
          <w:bCs/>
          <w:color w:val="3A93C6"/>
          <w:sz w:val="24"/>
          <w:lang w:val="en-US"/>
        </w:rPr>
      </w:pPr>
    </w:p>
    <w:p w14:paraId="4C840272" w14:textId="51541C91" w:rsidR="00FD1B0D" w:rsidRPr="00FD1B0D" w:rsidRDefault="00FD1B0D" w:rsidP="007D25A9">
      <w:pPr>
        <w:rPr>
          <w:lang w:val="en-GB"/>
        </w:rPr>
      </w:pPr>
    </w:p>
    <w:sectPr w:rsidR="00FD1B0D" w:rsidRPr="00FD1B0D" w:rsidSect="00E95A93">
      <w:pgSz w:w="16834" w:h="11909" w:orient="landscape" w:code="9"/>
      <w:pgMar w:top="1440" w:right="1008" w:bottom="1440" w:left="1008" w:header="706" w:footer="3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185F7E" w14:textId="77777777" w:rsidR="006D1CE4" w:rsidRDefault="006D1CE4" w:rsidP="00733533">
      <w:pPr>
        <w:spacing w:after="0" w:line="240" w:lineRule="auto"/>
      </w:pPr>
      <w:r>
        <w:separator/>
      </w:r>
    </w:p>
  </w:endnote>
  <w:endnote w:type="continuationSeparator" w:id="0">
    <w:p w14:paraId="0703DD9F" w14:textId="77777777" w:rsidR="006D1CE4" w:rsidRDefault="006D1CE4" w:rsidP="00733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3E113" w14:textId="77777777" w:rsidR="00CC44A2" w:rsidRDefault="00CC44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9377257"/>
      <w:docPartObj>
        <w:docPartGallery w:val="Page Numbers (Bottom of Page)"/>
        <w:docPartUnique/>
      </w:docPartObj>
    </w:sdtPr>
    <w:sdtEndPr>
      <w:rPr>
        <w:color w:val="7F7F7F" w:themeColor="background1" w:themeShade="7F"/>
        <w:spacing w:val="60"/>
      </w:rPr>
    </w:sdtEndPr>
    <w:sdtContent>
      <w:p w14:paraId="26D324E9" w14:textId="4846A8C0" w:rsidR="006B1D6D" w:rsidRDefault="006B1D6D">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5C35EBCD" w14:textId="256C0244" w:rsidR="006B1D6D" w:rsidRPr="00610A00" w:rsidRDefault="006B1D6D" w:rsidP="00610A00">
    <w:pPr>
      <w:pStyle w:val="Footer"/>
      <w:jc w:val="right"/>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79A3A" w14:textId="77777777" w:rsidR="00CC44A2" w:rsidRDefault="00CC44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4EDF07" w14:textId="77777777" w:rsidR="006D1CE4" w:rsidRDefault="006D1CE4" w:rsidP="00733533">
      <w:pPr>
        <w:spacing w:after="0" w:line="240" w:lineRule="auto"/>
      </w:pPr>
      <w:r>
        <w:separator/>
      </w:r>
    </w:p>
  </w:footnote>
  <w:footnote w:type="continuationSeparator" w:id="0">
    <w:p w14:paraId="6199C9E1" w14:textId="77777777" w:rsidR="006D1CE4" w:rsidRDefault="006D1CE4" w:rsidP="007335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0BA93" w14:textId="77777777" w:rsidR="00CC44A2" w:rsidRDefault="00CC44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F5ED2" w14:textId="2AFA150C" w:rsidR="00AD4D74" w:rsidRPr="00AD4D74" w:rsidRDefault="00AD4D74" w:rsidP="00AD4D74">
    <w:pPr>
      <w:pStyle w:val="Header"/>
      <w:jc w:val="right"/>
    </w:pPr>
    <w:r w:rsidRPr="00AD4D74">
      <w:rPr>
        <w:rFonts w:ascii="Arial" w:hAnsi="Arial" w:cs="Arial"/>
        <w:sz w:val="20"/>
        <w:szCs w:val="20"/>
      </w:rPr>
      <w:t>UHC2030/SC8/2021/04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F8CF9" w14:textId="77777777" w:rsidR="00CC44A2" w:rsidRDefault="00CC44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BC765A"/>
    <w:multiLevelType w:val="hybridMultilevel"/>
    <w:tmpl w:val="D4266D84"/>
    <w:lvl w:ilvl="0" w:tplc="27F2DA6E">
      <w:start w:val="4"/>
      <w:numFmt w:val="bullet"/>
      <w:lvlText w:val="-"/>
      <w:lvlJc w:val="left"/>
      <w:pPr>
        <w:ind w:left="720" w:hanging="360"/>
      </w:pPr>
      <w:rPr>
        <w:rFonts w:ascii="Arial" w:eastAsiaTheme="minorEastAsia"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A2D3ABB"/>
    <w:multiLevelType w:val="hybridMultilevel"/>
    <w:tmpl w:val="BB483A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B0E73CB"/>
    <w:multiLevelType w:val="hybridMultilevel"/>
    <w:tmpl w:val="020E3824"/>
    <w:lvl w:ilvl="0" w:tplc="73A2A4B2">
      <w:start w:val="1"/>
      <w:numFmt w:val="bullet"/>
      <w:lvlText w:val=""/>
      <w:lvlJc w:val="left"/>
      <w:pPr>
        <w:ind w:left="432" w:hanging="360"/>
      </w:pPr>
      <w:rPr>
        <w:rFonts w:ascii="Symbol" w:hAnsi="Symbol" w:hint="default"/>
        <w:lang w:val="en-GB"/>
      </w:rPr>
    </w:lvl>
    <w:lvl w:ilvl="1" w:tplc="08090003" w:tentative="1">
      <w:start w:val="1"/>
      <w:numFmt w:val="bullet"/>
      <w:lvlText w:val="o"/>
      <w:lvlJc w:val="left"/>
      <w:pPr>
        <w:ind w:left="1152" w:hanging="360"/>
      </w:pPr>
      <w:rPr>
        <w:rFonts w:ascii="Courier New" w:hAnsi="Courier New" w:cs="Courier New" w:hint="default"/>
      </w:rPr>
    </w:lvl>
    <w:lvl w:ilvl="2" w:tplc="08090005" w:tentative="1">
      <w:start w:val="1"/>
      <w:numFmt w:val="bullet"/>
      <w:lvlText w:val=""/>
      <w:lvlJc w:val="left"/>
      <w:pPr>
        <w:ind w:left="1872" w:hanging="360"/>
      </w:pPr>
      <w:rPr>
        <w:rFonts w:ascii="Wingdings" w:hAnsi="Wingdings" w:hint="default"/>
      </w:rPr>
    </w:lvl>
    <w:lvl w:ilvl="3" w:tplc="08090001" w:tentative="1">
      <w:start w:val="1"/>
      <w:numFmt w:val="bullet"/>
      <w:lvlText w:val=""/>
      <w:lvlJc w:val="left"/>
      <w:pPr>
        <w:ind w:left="2592" w:hanging="360"/>
      </w:pPr>
      <w:rPr>
        <w:rFonts w:ascii="Symbol" w:hAnsi="Symbol" w:hint="default"/>
      </w:rPr>
    </w:lvl>
    <w:lvl w:ilvl="4" w:tplc="08090003" w:tentative="1">
      <w:start w:val="1"/>
      <w:numFmt w:val="bullet"/>
      <w:lvlText w:val="o"/>
      <w:lvlJc w:val="left"/>
      <w:pPr>
        <w:ind w:left="3312" w:hanging="360"/>
      </w:pPr>
      <w:rPr>
        <w:rFonts w:ascii="Courier New" w:hAnsi="Courier New" w:cs="Courier New" w:hint="default"/>
      </w:rPr>
    </w:lvl>
    <w:lvl w:ilvl="5" w:tplc="08090005" w:tentative="1">
      <w:start w:val="1"/>
      <w:numFmt w:val="bullet"/>
      <w:lvlText w:val=""/>
      <w:lvlJc w:val="left"/>
      <w:pPr>
        <w:ind w:left="4032" w:hanging="360"/>
      </w:pPr>
      <w:rPr>
        <w:rFonts w:ascii="Wingdings" w:hAnsi="Wingdings" w:hint="default"/>
      </w:rPr>
    </w:lvl>
    <w:lvl w:ilvl="6" w:tplc="08090001" w:tentative="1">
      <w:start w:val="1"/>
      <w:numFmt w:val="bullet"/>
      <w:lvlText w:val=""/>
      <w:lvlJc w:val="left"/>
      <w:pPr>
        <w:ind w:left="4752" w:hanging="360"/>
      </w:pPr>
      <w:rPr>
        <w:rFonts w:ascii="Symbol" w:hAnsi="Symbol" w:hint="default"/>
      </w:rPr>
    </w:lvl>
    <w:lvl w:ilvl="7" w:tplc="08090003" w:tentative="1">
      <w:start w:val="1"/>
      <w:numFmt w:val="bullet"/>
      <w:lvlText w:val="o"/>
      <w:lvlJc w:val="left"/>
      <w:pPr>
        <w:ind w:left="5472" w:hanging="360"/>
      </w:pPr>
      <w:rPr>
        <w:rFonts w:ascii="Courier New" w:hAnsi="Courier New" w:cs="Courier New" w:hint="default"/>
      </w:rPr>
    </w:lvl>
    <w:lvl w:ilvl="8" w:tplc="08090005" w:tentative="1">
      <w:start w:val="1"/>
      <w:numFmt w:val="bullet"/>
      <w:lvlText w:val=""/>
      <w:lvlJc w:val="left"/>
      <w:pPr>
        <w:ind w:left="6192" w:hanging="360"/>
      </w:pPr>
      <w:rPr>
        <w:rFonts w:ascii="Wingdings" w:hAnsi="Wingdings" w:hint="default"/>
      </w:rPr>
    </w:lvl>
  </w:abstractNum>
  <w:abstractNum w:abstractNumId="3" w15:restartNumberingAfterBreak="0">
    <w:nsid w:val="3007363D"/>
    <w:multiLevelType w:val="hybridMultilevel"/>
    <w:tmpl w:val="F6AA6048"/>
    <w:lvl w:ilvl="0" w:tplc="08090001">
      <w:start w:val="1"/>
      <w:numFmt w:val="bullet"/>
      <w:lvlText w:val=""/>
      <w:lvlJc w:val="left"/>
      <w:pPr>
        <w:ind w:left="432" w:hanging="360"/>
      </w:pPr>
      <w:rPr>
        <w:rFonts w:ascii="Symbol" w:hAnsi="Symbol" w:hint="default"/>
      </w:rPr>
    </w:lvl>
    <w:lvl w:ilvl="1" w:tplc="08090003" w:tentative="1">
      <w:start w:val="1"/>
      <w:numFmt w:val="bullet"/>
      <w:lvlText w:val="o"/>
      <w:lvlJc w:val="left"/>
      <w:pPr>
        <w:ind w:left="1152" w:hanging="360"/>
      </w:pPr>
      <w:rPr>
        <w:rFonts w:ascii="Courier New" w:hAnsi="Courier New" w:cs="Courier New" w:hint="default"/>
      </w:rPr>
    </w:lvl>
    <w:lvl w:ilvl="2" w:tplc="08090005" w:tentative="1">
      <w:start w:val="1"/>
      <w:numFmt w:val="bullet"/>
      <w:lvlText w:val=""/>
      <w:lvlJc w:val="left"/>
      <w:pPr>
        <w:ind w:left="1872" w:hanging="360"/>
      </w:pPr>
      <w:rPr>
        <w:rFonts w:ascii="Wingdings" w:hAnsi="Wingdings" w:hint="default"/>
      </w:rPr>
    </w:lvl>
    <w:lvl w:ilvl="3" w:tplc="08090001" w:tentative="1">
      <w:start w:val="1"/>
      <w:numFmt w:val="bullet"/>
      <w:lvlText w:val=""/>
      <w:lvlJc w:val="left"/>
      <w:pPr>
        <w:ind w:left="2592" w:hanging="360"/>
      </w:pPr>
      <w:rPr>
        <w:rFonts w:ascii="Symbol" w:hAnsi="Symbol" w:hint="default"/>
      </w:rPr>
    </w:lvl>
    <w:lvl w:ilvl="4" w:tplc="08090003" w:tentative="1">
      <w:start w:val="1"/>
      <w:numFmt w:val="bullet"/>
      <w:lvlText w:val="o"/>
      <w:lvlJc w:val="left"/>
      <w:pPr>
        <w:ind w:left="3312" w:hanging="360"/>
      </w:pPr>
      <w:rPr>
        <w:rFonts w:ascii="Courier New" w:hAnsi="Courier New" w:cs="Courier New" w:hint="default"/>
      </w:rPr>
    </w:lvl>
    <w:lvl w:ilvl="5" w:tplc="08090005" w:tentative="1">
      <w:start w:val="1"/>
      <w:numFmt w:val="bullet"/>
      <w:lvlText w:val=""/>
      <w:lvlJc w:val="left"/>
      <w:pPr>
        <w:ind w:left="4032" w:hanging="360"/>
      </w:pPr>
      <w:rPr>
        <w:rFonts w:ascii="Wingdings" w:hAnsi="Wingdings" w:hint="default"/>
      </w:rPr>
    </w:lvl>
    <w:lvl w:ilvl="6" w:tplc="08090001" w:tentative="1">
      <w:start w:val="1"/>
      <w:numFmt w:val="bullet"/>
      <w:lvlText w:val=""/>
      <w:lvlJc w:val="left"/>
      <w:pPr>
        <w:ind w:left="4752" w:hanging="360"/>
      </w:pPr>
      <w:rPr>
        <w:rFonts w:ascii="Symbol" w:hAnsi="Symbol" w:hint="default"/>
      </w:rPr>
    </w:lvl>
    <w:lvl w:ilvl="7" w:tplc="08090003" w:tentative="1">
      <w:start w:val="1"/>
      <w:numFmt w:val="bullet"/>
      <w:lvlText w:val="o"/>
      <w:lvlJc w:val="left"/>
      <w:pPr>
        <w:ind w:left="5472" w:hanging="360"/>
      </w:pPr>
      <w:rPr>
        <w:rFonts w:ascii="Courier New" w:hAnsi="Courier New" w:cs="Courier New" w:hint="default"/>
      </w:rPr>
    </w:lvl>
    <w:lvl w:ilvl="8" w:tplc="08090005" w:tentative="1">
      <w:start w:val="1"/>
      <w:numFmt w:val="bullet"/>
      <w:lvlText w:val=""/>
      <w:lvlJc w:val="left"/>
      <w:pPr>
        <w:ind w:left="6192" w:hanging="360"/>
      </w:pPr>
      <w:rPr>
        <w:rFonts w:ascii="Wingdings" w:hAnsi="Wingdings" w:hint="default"/>
      </w:rPr>
    </w:lvl>
  </w:abstractNum>
  <w:abstractNum w:abstractNumId="4" w15:restartNumberingAfterBreak="0">
    <w:nsid w:val="39F403B9"/>
    <w:multiLevelType w:val="multilevel"/>
    <w:tmpl w:val="052CC2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5EE007B"/>
    <w:multiLevelType w:val="hybridMultilevel"/>
    <w:tmpl w:val="A6A49040"/>
    <w:lvl w:ilvl="0" w:tplc="73A2A4B2">
      <w:start w:val="1"/>
      <w:numFmt w:val="bullet"/>
      <w:lvlText w:val=""/>
      <w:lvlJc w:val="left"/>
      <w:pPr>
        <w:ind w:left="720" w:hanging="360"/>
      </w:pPr>
      <w:rPr>
        <w:rFonts w:ascii="Symbol" w:hAnsi="Symbol" w:hint="default"/>
        <w:lang w:val="en-G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9177EF6"/>
    <w:multiLevelType w:val="hybridMultilevel"/>
    <w:tmpl w:val="0C5690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BD34F48"/>
    <w:multiLevelType w:val="hybridMultilevel"/>
    <w:tmpl w:val="7DFCC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E63A55"/>
    <w:multiLevelType w:val="hybridMultilevel"/>
    <w:tmpl w:val="365CAEEE"/>
    <w:lvl w:ilvl="0" w:tplc="73A2A4B2">
      <w:start w:val="1"/>
      <w:numFmt w:val="bullet"/>
      <w:lvlText w:val=""/>
      <w:lvlJc w:val="left"/>
      <w:pPr>
        <w:ind w:left="432" w:hanging="360"/>
      </w:pPr>
      <w:rPr>
        <w:rFonts w:ascii="Symbol" w:hAnsi="Symbol" w:hint="default"/>
        <w:lang w:val="en-GB"/>
      </w:rPr>
    </w:lvl>
    <w:lvl w:ilvl="1" w:tplc="08090003" w:tentative="1">
      <w:start w:val="1"/>
      <w:numFmt w:val="bullet"/>
      <w:lvlText w:val="o"/>
      <w:lvlJc w:val="left"/>
      <w:pPr>
        <w:ind w:left="1152" w:hanging="360"/>
      </w:pPr>
      <w:rPr>
        <w:rFonts w:ascii="Courier New" w:hAnsi="Courier New" w:cs="Courier New" w:hint="default"/>
      </w:rPr>
    </w:lvl>
    <w:lvl w:ilvl="2" w:tplc="08090005" w:tentative="1">
      <w:start w:val="1"/>
      <w:numFmt w:val="bullet"/>
      <w:lvlText w:val=""/>
      <w:lvlJc w:val="left"/>
      <w:pPr>
        <w:ind w:left="1872" w:hanging="360"/>
      </w:pPr>
      <w:rPr>
        <w:rFonts w:ascii="Wingdings" w:hAnsi="Wingdings" w:hint="default"/>
      </w:rPr>
    </w:lvl>
    <w:lvl w:ilvl="3" w:tplc="08090001" w:tentative="1">
      <w:start w:val="1"/>
      <w:numFmt w:val="bullet"/>
      <w:lvlText w:val=""/>
      <w:lvlJc w:val="left"/>
      <w:pPr>
        <w:ind w:left="2592" w:hanging="360"/>
      </w:pPr>
      <w:rPr>
        <w:rFonts w:ascii="Symbol" w:hAnsi="Symbol" w:hint="default"/>
      </w:rPr>
    </w:lvl>
    <w:lvl w:ilvl="4" w:tplc="08090003" w:tentative="1">
      <w:start w:val="1"/>
      <w:numFmt w:val="bullet"/>
      <w:lvlText w:val="o"/>
      <w:lvlJc w:val="left"/>
      <w:pPr>
        <w:ind w:left="3312" w:hanging="360"/>
      </w:pPr>
      <w:rPr>
        <w:rFonts w:ascii="Courier New" w:hAnsi="Courier New" w:cs="Courier New" w:hint="default"/>
      </w:rPr>
    </w:lvl>
    <w:lvl w:ilvl="5" w:tplc="08090005" w:tentative="1">
      <w:start w:val="1"/>
      <w:numFmt w:val="bullet"/>
      <w:lvlText w:val=""/>
      <w:lvlJc w:val="left"/>
      <w:pPr>
        <w:ind w:left="4032" w:hanging="360"/>
      </w:pPr>
      <w:rPr>
        <w:rFonts w:ascii="Wingdings" w:hAnsi="Wingdings" w:hint="default"/>
      </w:rPr>
    </w:lvl>
    <w:lvl w:ilvl="6" w:tplc="08090001" w:tentative="1">
      <w:start w:val="1"/>
      <w:numFmt w:val="bullet"/>
      <w:lvlText w:val=""/>
      <w:lvlJc w:val="left"/>
      <w:pPr>
        <w:ind w:left="4752" w:hanging="360"/>
      </w:pPr>
      <w:rPr>
        <w:rFonts w:ascii="Symbol" w:hAnsi="Symbol" w:hint="default"/>
      </w:rPr>
    </w:lvl>
    <w:lvl w:ilvl="7" w:tplc="08090003" w:tentative="1">
      <w:start w:val="1"/>
      <w:numFmt w:val="bullet"/>
      <w:lvlText w:val="o"/>
      <w:lvlJc w:val="left"/>
      <w:pPr>
        <w:ind w:left="5472" w:hanging="360"/>
      </w:pPr>
      <w:rPr>
        <w:rFonts w:ascii="Courier New" w:hAnsi="Courier New" w:cs="Courier New" w:hint="default"/>
      </w:rPr>
    </w:lvl>
    <w:lvl w:ilvl="8" w:tplc="08090005" w:tentative="1">
      <w:start w:val="1"/>
      <w:numFmt w:val="bullet"/>
      <w:lvlText w:val=""/>
      <w:lvlJc w:val="left"/>
      <w:pPr>
        <w:ind w:left="6192" w:hanging="360"/>
      </w:pPr>
      <w:rPr>
        <w:rFonts w:ascii="Wingdings" w:hAnsi="Wingdings" w:hint="default"/>
      </w:rPr>
    </w:lvl>
  </w:abstractNum>
  <w:abstractNum w:abstractNumId="9" w15:restartNumberingAfterBreak="0">
    <w:nsid w:val="6F61209E"/>
    <w:multiLevelType w:val="hybridMultilevel"/>
    <w:tmpl w:val="239A387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2B675C3"/>
    <w:multiLevelType w:val="hybridMultilevel"/>
    <w:tmpl w:val="8A86BF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0"/>
  </w:num>
  <w:num w:numId="3">
    <w:abstractNumId w:val="4"/>
  </w:num>
  <w:num w:numId="4">
    <w:abstractNumId w:val="3"/>
  </w:num>
  <w:num w:numId="5">
    <w:abstractNumId w:val="9"/>
  </w:num>
  <w:num w:numId="6">
    <w:abstractNumId w:val="1"/>
  </w:num>
  <w:num w:numId="7">
    <w:abstractNumId w:val="7"/>
  </w:num>
  <w:num w:numId="8">
    <w:abstractNumId w:val="6"/>
  </w:num>
  <w:num w:numId="9">
    <w:abstractNumId w:val="5"/>
  </w:num>
  <w:num w:numId="10">
    <w:abstractNumId w:val="2"/>
  </w:num>
  <w:num w:numId="11">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UxNjExNLMAYlNTYyUdpeDU4uLM/DyQAsNaAEQ+APYsAAAA"/>
  </w:docVars>
  <w:rsids>
    <w:rsidRoot w:val="001D14B5"/>
    <w:rsid w:val="00000A1A"/>
    <w:rsid w:val="00004D0E"/>
    <w:rsid w:val="00012DDC"/>
    <w:rsid w:val="000156DC"/>
    <w:rsid w:val="00022626"/>
    <w:rsid w:val="00022736"/>
    <w:rsid w:val="00023E8B"/>
    <w:rsid w:val="00024144"/>
    <w:rsid w:val="00030631"/>
    <w:rsid w:val="000349D7"/>
    <w:rsid w:val="00034A95"/>
    <w:rsid w:val="00035356"/>
    <w:rsid w:val="000377B4"/>
    <w:rsid w:val="000417CC"/>
    <w:rsid w:val="00046400"/>
    <w:rsid w:val="00052AFE"/>
    <w:rsid w:val="00056D89"/>
    <w:rsid w:val="00060ADF"/>
    <w:rsid w:val="0006189A"/>
    <w:rsid w:val="00066E80"/>
    <w:rsid w:val="00076C91"/>
    <w:rsid w:val="0007721C"/>
    <w:rsid w:val="00082643"/>
    <w:rsid w:val="00082AE1"/>
    <w:rsid w:val="00092290"/>
    <w:rsid w:val="0009312C"/>
    <w:rsid w:val="00094DE1"/>
    <w:rsid w:val="00094FF7"/>
    <w:rsid w:val="00095383"/>
    <w:rsid w:val="00095B9C"/>
    <w:rsid w:val="000A56B3"/>
    <w:rsid w:val="000B3423"/>
    <w:rsid w:val="000C117F"/>
    <w:rsid w:val="000C3243"/>
    <w:rsid w:val="000D31EB"/>
    <w:rsid w:val="000E163A"/>
    <w:rsid w:val="000E744F"/>
    <w:rsid w:val="000F3B18"/>
    <w:rsid w:val="000F52A1"/>
    <w:rsid w:val="000F74EA"/>
    <w:rsid w:val="00107332"/>
    <w:rsid w:val="001077A3"/>
    <w:rsid w:val="0011602B"/>
    <w:rsid w:val="0012239D"/>
    <w:rsid w:val="00123470"/>
    <w:rsid w:val="0012494F"/>
    <w:rsid w:val="001440A0"/>
    <w:rsid w:val="00144252"/>
    <w:rsid w:val="00146CAF"/>
    <w:rsid w:val="00150AF5"/>
    <w:rsid w:val="0016438F"/>
    <w:rsid w:val="001656D3"/>
    <w:rsid w:val="00165FC0"/>
    <w:rsid w:val="0016606D"/>
    <w:rsid w:val="00170605"/>
    <w:rsid w:val="001761C0"/>
    <w:rsid w:val="001774A4"/>
    <w:rsid w:val="00185A0C"/>
    <w:rsid w:val="00191BDE"/>
    <w:rsid w:val="0019420C"/>
    <w:rsid w:val="001A6E12"/>
    <w:rsid w:val="001B5669"/>
    <w:rsid w:val="001C7D8D"/>
    <w:rsid w:val="001D14B5"/>
    <w:rsid w:val="001E3AF7"/>
    <w:rsid w:val="001F16B4"/>
    <w:rsid w:val="001F170C"/>
    <w:rsid w:val="001F79FC"/>
    <w:rsid w:val="002059F1"/>
    <w:rsid w:val="00205BA3"/>
    <w:rsid w:val="00212340"/>
    <w:rsid w:val="00215614"/>
    <w:rsid w:val="0021615D"/>
    <w:rsid w:val="002162F6"/>
    <w:rsid w:val="002208D0"/>
    <w:rsid w:val="00222C03"/>
    <w:rsid w:val="00223C6E"/>
    <w:rsid w:val="00237CFA"/>
    <w:rsid w:val="002437AB"/>
    <w:rsid w:val="0024573D"/>
    <w:rsid w:val="002538BC"/>
    <w:rsid w:val="00254FD5"/>
    <w:rsid w:val="002559AA"/>
    <w:rsid w:val="002648CE"/>
    <w:rsid w:val="0026709D"/>
    <w:rsid w:val="0028360D"/>
    <w:rsid w:val="00285E31"/>
    <w:rsid w:val="0029379E"/>
    <w:rsid w:val="002A1235"/>
    <w:rsid w:val="002A5339"/>
    <w:rsid w:val="002B4366"/>
    <w:rsid w:val="002C0C21"/>
    <w:rsid w:val="002C249F"/>
    <w:rsid w:val="002C7C8B"/>
    <w:rsid w:val="002D52F4"/>
    <w:rsid w:val="002D556A"/>
    <w:rsid w:val="002E1BCA"/>
    <w:rsid w:val="002F12C5"/>
    <w:rsid w:val="002F7743"/>
    <w:rsid w:val="00301B61"/>
    <w:rsid w:val="003050A5"/>
    <w:rsid w:val="003059EB"/>
    <w:rsid w:val="00306531"/>
    <w:rsid w:val="003069E7"/>
    <w:rsid w:val="003071C4"/>
    <w:rsid w:val="00320CFC"/>
    <w:rsid w:val="00324EDB"/>
    <w:rsid w:val="00326A77"/>
    <w:rsid w:val="0033223E"/>
    <w:rsid w:val="003419BE"/>
    <w:rsid w:val="00343C9C"/>
    <w:rsid w:val="00350F9E"/>
    <w:rsid w:val="00352CC4"/>
    <w:rsid w:val="003542F6"/>
    <w:rsid w:val="00354593"/>
    <w:rsid w:val="003569DD"/>
    <w:rsid w:val="00360720"/>
    <w:rsid w:val="00362CDE"/>
    <w:rsid w:val="003713EE"/>
    <w:rsid w:val="00372EA4"/>
    <w:rsid w:val="00374D61"/>
    <w:rsid w:val="00384B17"/>
    <w:rsid w:val="00386C86"/>
    <w:rsid w:val="00392F46"/>
    <w:rsid w:val="003A36EB"/>
    <w:rsid w:val="003B0B1C"/>
    <w:rsid w:val="003B70B7"/>
    <w:rsid w:val="003D553B"/>
    <w:rsid w:val="003E0011"/>
    <w:rsid w:val="003E3B24"/>
    <w:rsid w:val="003E5835"/>
    <w:rsid w:val="003E6998"/>
    <w:rsid w:val="003F22F6"/>
    <w:rsid w:val="003F267B"/>
    <w:rsid w:val="003F2E21"/>
    <w:rsid w:val="003F6E37"/>
    <w:rsid w:val="00406517"/>
    <w:rsid w:val="00406AA2"/>
    <w:rsid w:val="004117E8"/>
    <w:rsid w:val="00415C7E"/>
    <w:rsid w:val="00420532"/>
    <w:rsid w:val="00421A47"/>
    <w:rsid w:val="00423121"/>
    <w:rsid w:val="00423DA8"/>
    <w:rsid w:val="00424928"/>
    <w:rsid w:val="00426597"/>
    <w:rsid w:val="0043640D"/>
    <w:rsid w:val="00445B82"/>
    <w:rsid w:val="00447C2A"/>
    <w:rsid w:val="00456516"/>
    <w:rsid w:val="00460351"/>
    <w:rsid w:val="00460C51"/>
    <w:rsid w:val="004616C3"/>
    <w:rsid w:val="00463330"/>
    <w:rsid w:val="00466F26"/>
    <w:rsid w:val="00482528"/>
    <w:rsid w:val="004839A0"/>
    <w:rsid w:val="00486EFE"/>
    <w:rsid w:val="004B478E"/>
    <w:rsid w:val="004C40BA"/>
    <w:rsid w:val="004C6387"/>
    <w:rsid w:val="004D3FEA"/>
    <w:rsid w:val="004D496A"/>
    <w:rsid w:val="004D7F9A"/>
    <w:rsid w:val="004E2C5E"/>
    <w:rsid w:val="004F254F"/>
    <w:rsid w:val="00502074"/>
    <w:rsid w:val="00502517"/>
    <w:rsid w:val="00510F49"/>
    <w:rsid w:val="00511B50"/>
    <w:rsid w:val="005128E5"/>
    <w:rsid w:val="0052112A"/>
    <w:rsid w:val="00523D8F"/>
    <w:rsid w:val="005257D7"/>
    <w:rsid w:val="00525C05"/>
    <w:rsid w:val="00526119"/>
    <w:rsid w:val="00552847"/>
    <w:rsid w:val="00552C44"/>
    <w:rsid w:val="0056606F"/>
    <w:rsid w:val="005673C1"/>
    <w:rsid w:val="00570B0A"/>
    <w:rsid w:val="00577020"/>
    <w:rsid w:val="0057724E"/>
    <w:rsid w:val="005817F9"/>
    <w:rsid w:val="00581CFC"/>
    <w:rsid w:val="00582891"/>
    <w:rsid w:val="00583BCD"/>
    <w:rsid w:val="00585D56"/>
    <w:rsid w:val="00587EBF"/>
    <w:rsid w:val="00590DDE"/>
    <w:rsid w:val="005A06E0"/>
    <w:rsid w:val="005A5189"/>
    <w:rsid w:val="005A74AF"/>
    <w:rsid w:val="005A7EA0"/>
    <w:rsid w:val="005B2B55"/>
    <w:rsid w:val="005B3F09"/>
    <w:rsid w:val="005C0721"/>
    <w:rsid w:val="005C2001"/>
    <w:rsid w:val="005C44DB"/>
    <w:rsid w:val="005D1D2E"/>
    <w:rsid w:val="005E1605"/>
    <w:rsid w:val="005E20B3"/>
    <w:rsid w:val="005F07A4"/>
    <w:rsid w:val="005F4254"/>
    <w:rsid w:val="005F626A"/>
    <w:rsid w:val="006013B9"/>
    <w:rsid w:val="006019DB"/>
    <w:rsid w:val="0060352C"/>
    <w:rsid w:val="00603EC0"/>
    <w:rsid w:val="00610A00"/>
    <w:rsid w:val="00610CDF"/>
    <w:rsid w:val="00613F26"/>
    <w:rsid w:val="00615289"/>
    <w:rsid w:val="0062128E"/>
    <w:rsid w:val="006226E3"/>
    <w:rsid w:val="00623200"/>
    <w:rsid w:val="006247D2"/>
    <w:rsid w:val="00641686"/>
    <w:rsid w:val="006432DB"/>
    <w:rsid w:val="00643FF0"/>
    <w:rsid w:val="00651D04"/>
    <w:rsid w:val="00653A35"/>
    <w:rsid w:val="00654674"/>
    <w:rsid w:val="006563D4"/>
    <w:rsid w:val="0066215D"/>
    <w:rsid w:val="00662C50"/>
    <w:rsid w:val="006638EB"/>
    <w:rsid w:val="006767C0"/>
    <w:rsid w:val="00691EBD"/>
    <w:rsid w:val="00692DE8"/>
    <w:rsid w:val="00693BCA"/>
    <w:rsid w:val="0069597A"/>
    <w:rsid w:val="0069789A"/>
    <w:rsid w:val="006A1F8D"/>
    <w:rsid w:val="006A65C0"/>
    <w:rsid w:val="006B1D6D"/>
    <w:rsid w:val="006B4033"/>
    <w:rsid w:val="006C0463"/>
    <w:rsid w:val="006C0627"/>
    <w:rsid w:val="006C6EFF"/>
    <w:rsid w:val="006C7B58"/>
    <w:rsid w:val="006D09C3"/>
    <w:rsid w:val="006D0F29"/>
    <w:rsid w:val="006D1938"/>
    <w:rsid w:val="006D1CE4"/>
    <w:rsid w:val="006D55F1"/>
    <w:rsid w:val="006E10AA"/>
    <w:rsid w:val="006E759E"/>
    <w:rsid w:val="006E759F"/>
    <w:rsid w:val="006E7F17"/>
    <w:rsid w:val="006F4810"/>
    <w:rsid w:val="00701EE1"/>
    <w:rsid w:val="00704E5B"/>
    <w:rsid w:val="00706EDF"/>
    <w:rsid w:val="00711EAD"/>
    <w:rsid w:val="00716342"/>
    <w:rsid w:val="007210E8"/>
    <w:rsid w:val="007263B5"/>
    <w:rsid w:val="00726C43"/>
    <w:rsid w:val="00733533"/>
    <w:rsid w:val="007537C4"/>
    <w:rsid w:val="0076078B"/>
    <w:rsid w:val="00764A7B"/>
    <w:rsid w:val="00780F27"/>
    <w:rsid w:val="00781753"/>
    <w:rsid w:val="00784F85"/>
    <w:rsid w:val="00785A75"/>
    <w:rsid w:val="00791E24"/>
    <w:rsid w:val="007957DF"/>
    <w:rsid w:val="007A1F15"/>
    <w:rsid w:val="007A2AF0"/>
    <w:rsid w:val="007A32FE"/>
    <w:rsid w:val="007A7FCD"/>
    <w:rsid w:val="007B3D28"/>
    <w:rsid w:val="007B5861"/>
    <w:rsid w:val="007B7B57"/>
    <w:rsid w:val="007D0ACC"/>
    <w:rsid w:val="007D0AE7"/>
    <w:rsid w:val="007D25A9"/>
    <w:rsid w:val="007D5E94"/>
    <w:rsid w:val="007E4B51"/>
    <w:rsid w:val="007E7912"/>
    <w:rsid w:val="007F32BA"/>
    <w:rsid w:val="007F3C00"/>
    <w:rsid w:val="00801D48"/>
    <w:rsid w:val="0080553B"/>
    <w:rsid w:val="00805969"/>
    <w:rsid w:val="0080672A"/>
    <w:rsid w:val="0081425A"/>
    <w:rsid w:val="00822350"/>
    <w:rsid w:val="00824DA2"/>
    <w:rsid w:val="00824E7A"/>
    <w:rsid w:val="0083068F"/>
    <w:rsid w:val="00832D9A"/>
    <w:rsid w:val="00833E2F"/>
    <w:rsid w:val="00844E09"/>
    <w:rsid w:val="00846DCB"/>
    <w:rsid w:val="00850D7A"/>
    <w:rsid w:val="00851B55"/>
    <w:rsid w:val="008623FD"/>
    <w:rsid w:val="00864F51"/>
    <w:rsid w:val="00866030"/>
    <w:rsid w:val="00871187"/>
    <w:rsid w:val="00871DA8"/>
    <w:rsid w:val="0088007A"/>
    <w:rsid w:val="00882FCC"/>
    <w:rsid w:val="008834A6"/>
    <w:rsid w:val="00886F60"/>
    <w:rsid w:val="00890417"/>
    <w:rsid w:val="008A08AC"/>
    <w:rsid w:val="008A38C5"/>
    <w:rsid w:val="008B33CA"/>
    <w:rsid w:val="008B6B09"/>
    <w:rsid w:val="008C2986"/>
    <w:rsid w:val="008D152A"/>
    <w:rsid w:val="008D4AF8"/>
    <w:rsid w:val="008E00E0"/>
    <w:rsid w:val="008E55E3"/>
    <w:rsid w:val="00900CC5"/>
    <w:rsid w:val="0090230F"/>
    <w:rsid w:val="00903B67"/>
    <w:rsid w:val="00910147"/>
    <w:rsid w:val="009142E9"/>
    <w:rsid w:val="009157B9"/>
    <w:rsid w:val="00920E0B"/>
    <w:rsid w:val="009248C7"/>
    <w:rsid w:val="00926DDE"/>
    <w:rsid w:val="009365EE"/>
    <w:rsid w:val="00944FA1"/>
    <w:rsid w:val="009535B8"/>
    <w:rsid w:val="00955CD9"/>
    <w:rsid w:val="00957DBB"/>
    <w:rsid w:val="00961DB7"/>
    <w:rsid w:val="00965425"/>
    <w:rsid w:val="009656EA"/>
    <w:rsid w:val="00973062"/>
    <w:rsid w:val="0099102A"/>
    <w:rsid w:val="00993A1E"/>
    <w:rsid w:val="00993CB1"/>
    <w:rsid w:val="00996454"/>
    <w:rsid w:val="009A4BFE"/>
    <w:rsid w:val="009C34A2"/>
    <w:rsid w:val="009C5100"/>
    <w:rsid w:val="009D6C78"/>
    <w:rsid w:val="009D7952"/>
    <w:rsid w:val="009E52E7"/>
    <w:rsid w:val="009F1FDF"/>
    <w:rsid w:val="009F47FC"/>
    <w:rsid w:val="00A006B2"/>
    <w:rsid w:val="00A11609"/>
    <w:rsid w:val="00A1218D"/>
    <w:rsid w:val="00A1488C"/>
    <w:rsid w:val="00A16773"/>
    <w:rsid w:val="00A20FDA"/>
    <w:rsid w:val="00A22822"/>
    <w:rsid w:val="00A235BC"/>
    <w:rsid w:val="00A26246"/>
    <w:rsid w:val="00A315B8"/>
    <w:rsid w:val="00A43284"/>
    <w:rsid w:val="00A43B37"/>
    <w:rsid w:val="00A45FC8"/>
    <w:rsid w:val="00A53921"/>
    <w:rsid w:val="00A54B11"/>
    <w:rsid w:val="00A57912"/>
    <w:rsid w:val="00A60B33"/>
    <w:rsid w:val="00A66C78"/>
    <w:rsid w:val="00A77277"/>
    <w:rsid w:val="00A806A6"/>
    <w:rsid w:val="00A94B80"/>
    <w:rsid w:val="00AA3056"/>
    <w:rsid w:val="00AA3E4B"/>
    <w:rsid w:val="00AA7748"/>
    <w:rsid w:val="00AA7769"/>
    <w:rsid w:val="00AC736C"/>
    <w:rsid w:val="00AD1B4E"/>
    <w:rsid w:val="00AD4D74"/>
    <w:rsid w:val="00AE10C0"/>
    <w:rsid w:val="00AE5A18"/>
    <w:rsid w:val="00AF1264"/>
    <w:rsid w:val="00B0481C"/>
    <w:rsid w:val="00B10A37"/>
    <w:rsid w:val="00B123E8"/>
    <w:rsid w:val="00B14074"/>
    <w:rsid w:val="00B24653"/>
    <w:rsid w:val="00B25547"/>
    <w:rsid w:val="00B3060D"/>
    <w:rsid w:val="00B35003"/>
    <w:rsid w:val="00B402AA"/>
    <w:rsid w:val="00B415C1"/>
    <w:rsid w:val="00B476DB"/>
    <w:rsid w:val="00B53E48"/>
    <w:rsid w:val="00B6382F"/>
    <w:rsid w:val="00B65B2F"/>
    <w:rsid w:val="00B6603C"/>
    <w:rsid w:val="00B70118"/>
    <w:rsid w:val="00B74784"/>
    <w:rsid w:val="00B75345"/>
    <w:rsid w:val="00B81106"/>
    <w:rsid w:val="00B82CAD"/>
    <w:rsid w:val="00B86DBB"/>
    <w:rsid w:val="00B91469"/>
    <w:rsid w:val="00B9354B"/>
    <w:rsid w:val="00B94330"/>
    <w:rsid w:val="00BA04A0"/>
    <w:rsid w:val="00BA4787"/>
    <w:rsid w:val="00BA4A76"/>
    <w:rsid w:val="00BB1666"/>
    <w:rsid w:val="00BB314B"/>
    <w:rsid w:val="00BB487C"/>
    <w:rsid w:val="00BB7318"/>
    <w:rsid w:val="00BC40FE"/>
    <w:rsid w:val="00BD087F"/>
    <w:rsid w:val="00BD472C"/>
    <w:rsid w:val="00BE24E8"/>
    <w:rsid w:val="00BE7DA2"/>
    <w:rsid w:val="00BF1BE5"/>
    <w:rsid w:val="00BF6766"/>
    <w:rsid w:val="00C03EE1"/>
    <w:rsid w:val="00C13B47"/>
    <w:rsid w:val="00C16CC7"/>
    <w:rsid w:val="00C178EB"/>
    <w:rsid w:val="00C31C08"/>
    <w:rsid w:val="00C34211"/>
    <w:rsid w:val="00C35330"/>
    <w:rsid w:val="00C35CB0"/>
    <w:rsid w:val="00C378FA"/>
    <w:rsid w:val="00C45497"/>
    <w:rsid w:val="00C5239B"/>
    <w:rsid w:val="00C5382C"/>
    <w:rsid w:val="00C5796F"/>
    <w:rsid w:val="00C62FCC"/>
    <w:rsid w:val="00C63C35"/>
    <w:rsid w:val="00C710D6"/>
    <w:rsid w:val="00C72C0A"/>
    <w:rsid w:val="00C77BAE"/>
    <w:rsid w:val="00C81571"/>
    <w:rsid w:val="00C9177B"/>
    <w:rsid w:val="00C95D76"/>
    <w:rsid w:val="00C95EF7"/>
    <w:rsid w:val="00CA3486"/>
    <w:rsid w:val="00CB2060"/>
    <w:rsid w:val="00CC3BE4"/>
    <w:rsid w:val="00CC44A2"/>
    <w:rsid w:val="00CD4B84"/>
    <w:rsid w:val="00CE291F"/>
    <w:rsid w:val="00CE35E1"/>
    <w:rsid w:val="00CF1544"/>
    <w:rsid w:val="00CF6922"/>
    <w:rsid w:val="00CF6A60"/>
    <w:rsid w:val="00D03EED"/>
    <w:rsid w:val="00D04405"/>
    <w:rsid w:val="00D04B65"/>
    <w:rsid w:val="00D053D0"/>
    <w:rsid w:val="00D05BCE"/>
    <w:rsid w:val="00D061BF"/>
    <w:rsid w:val="00D1014A"/>
    <w:rsid w:val="00D11F5B"/>
    <w:rsid w:val="00D12F1E"/>
    <w:rsid w:val="00D161E0"/>
    <w:rsid w:val="00D22857"/>
    <w:rsid w:val="00D2568D"/>
    <w:rsid w:val="00D3545D"/>
    <w:rsid w:val="00D42EE2"/>
    <w:rsid w:val="00D4327E"/>
    <w:rsid w:val="00D519C5"/>
    <w:rsid w:val="00D52681"/>
    <w:rsid w:val="00D61427"/>
    <w:rsid w:val="00D61C03"/>
    <w:rsid w:val="00D653F5"/>
    <w:rsid w:val="00D6548E"/>
    <w:rsid w:val="00D74B66"/>
    <w:rsid w:val="00D806C5"/>
    <w:rsid w:val="00D85940"/>
    <w:rsid w:val="00D93D82"/>
    <w:rsid w:val="00DA3383"/>
    <w:rsid w:val="00DA5E42"/>
    <w:rsid w:val="00DB476A"/>
    <w:rsid w:val="00DB66C6"/>
    <w:rsid w:val="00DC08F1"/>
    <w:rsid w:val="00DC416F"/>
    <w:rsid w:val="00DD0836"/>
    <w:rsid w:val="00DE34A4"/>
    <w:rsid w:val="00DE417F"/>
    <w:rsid w:val="00DF0C2B"/>
    <w:rsid w:val="00DF232D"/>
    <w:rsid w:val="00DF238B"/>
    <w:rsid w:val="00DF3EBA"/>
    <w:rsid w:val="00E05018"/>
    <w:rsid w:val="00E122B3"/>
    <w:rsid w:val="00E432EB"/>
    <w:rsid w:val="00E46B60"/>
    <w:rsid w:val="00E51A8D"/>
    <w:rsid w:val="00E525FC"/>
    <w:rsid w:val="00E54E27"/>
    <w:rsid w:val="00E55D62"/>
    <w:rsid w:val="00E619DF"/>
    <w:rsid w:val="00E634F4"/>
    <w:rsid w:val="00E65253"/>
    <w:rsid w:val="00E67131"/>
    <w:rsid w:val="00E7302D"/>
    <w:rsid w:val="00E81064"/>
    <w:rsid w:val="00E869E0"/>
    <w:rsid w:val="00E9193C"/>
    <w:rsid w:val="00E91AF3"/>
    <w:rsid w:val="00E92A3B"/>
    <w:rsid w:val="00E95A93"/>
    <w:rsid w:val="00EA0CA4"/>
    <w:rsid w:val="00EA1722"/>
    <w:rsid w:val="00EA3B1E"/>
    <w:rsid w:val="00EA4240"/>
    <w:rsid w:val="00EA480C"/>
    <w:rsid w:val="00EB5725"/>
    <w:rsid w:val="00EC6677"/>
    <w:rsid w:val="00ED0B28"/>
    <w:rsid w:val="00ED381A"/>
    <w:rsid w:val="00ED4ACE"/>
    <w:rsid w:val="00EE08CB"/>
    <w:rsid w:val="00EE303F"/>
    <w:rsid w:val="00EF595F"/>
    <w:rsid w:val="00F04152"/>
    <w:rsid w:val="00F045B4"/>
    <w:rsid w:val="00F33504"/>
    <w:rsid w:val="00F377EE"/>
    <w:rsid w:val="00F51415"/>
    <w:rsid w:val="00F60E48"/>
    <w:rsid w:val="00F648EE"/>
    <w:rsid w:val="00F670A9"/>
    <w:rsid w:val="00F70A1D"/>
    <w:rsid w:val="00F72AA0"/>
    <w:rsid w:val="00F811ED"/>
    <w:rsid w:val="00F9561C"/>
    <w:rsid w:val="00FA2456"/>
    <w:rsid w:val="00FA3F4F"/>
    <w:rsid w:val="00FA612E"/>
    <w:rsid w:val="00FB74CA"/>
    <w:rsid w:val="00FB7DBF"/>
    <w:rsid w:val="00FC0623"/>
    <w:rsid w:val="00FC2AE5"/>
    <w:rsid w:val="00FD0F8B"/>
    <w:rsid w:val="00FD1B0D"/>
    <w:rsid w:val="00FD3C4C"/>
    <w:rsid w:val="00FD7175"/>
    <w:rsid w:val="00FE04FA"/>
    <w:rsid w:val="00FE18D7"/>
    <w:rsid w:val="00FE247F"/>
    <w:rsid w:val="00FF3A3F"/>
    <w:rsid w:val="00FF56BA"/>
    <w:rsid w:val="00FF6BE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13EA24B"/>
  <w15:chartTrackingRefBased/>
  <w15:docId w15:val="{37E0A3CC-D722-484B-BBA5-1EBCC8B54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1"/>
    <w:qFormat/>
    <w:rsid w:val="001D14B5"/>
    <w:pPr>
      <w:widowControl w:val="0"/>
      <w:spacing w:after="0" w:line="240" w:lineRule="auto"/>
      <w:ind w:left="113"/>
      <w:outlineLvl w:val="0"/>
    </w:pPr>
    <w:rPr>
      <w:rFonts w:ascii="Arial" w:eastAsia="Arial" w:hAnsi="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D14B5"/>
    <w:rPr>
      <w:rFonts w:ascii="Arial" w:eastAsia="Arial" w:hAnsi="Arial"/>
      <w:b/>
      <w:bCs/>
      <w:sz w:val="28"/>
      <w:szCs w:val="28"/>
    </w:rPr>
  </w:style>
  <w:style w:type="paragraph" w:styleId="ListParagraph">
    <w:name w:val="List Paragraph"/>
    <w:aliases w:val="Paragraph"/>
    <w:basedOn w:val="Normal"/>
    <w:link w:val="ListParagraphChar"/>
    <w:uiPriority w:val="34"/>
    <w:qFormat/>
    <w:rsid w:val="001D14B5"/>
    <w:pPr>
      <w:widowControl w:val="0"/>
      <w:spacing w:after="0" w:line="240" w:lineRule="auto"/>
    </w:pPr>
  </w:style>
  <w:style w:type="character" w:customStyle="1" w:styleId="ListParagraphChar">
    <w:name w:val="List Paragraph Char"/>
    <w:aliases w:val="Paragraph Char"/>
    <w:link w:val="ListParagraph"/>
    <w:uiPriority w:val="34"/>
    <w:locked/>
    <w:rsid w:val="001D14B5"/>
  </w:style>
  <w:style w:type="table" w:styleId="TableGrid">
    <w:name w:val="Table Grid"/>
    <w:basedOn w:val="TableNormal"/>
    <w:uiPriority w:val="59"/>
    <w:rsid w:val="001D14B5"/>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A51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5189"/>
    <w:rPr>
      <w:rFonts w:ascii="Segoe UI" w:hAnsi="Segoe UI" w:cs="Segoe UI"/>
      <w:sz w:val="18"/>
      <w:szCs w:val="18"/>
    </w:rPr>
  </w:style>
  <w:style w:type="character" w:styleId="Hyperlink">
    <w:name w:val="Hyperlink"/>
    <w:basedOn w:val="DefaultParagraphFont"/>
    <w:uiPriority w:val="99"/>
    <w:unhideWhenUsed/>
    <w:rsid w:val="006A65C0"/>
    <w:rPr>
      <w:color w:val="0000FF" w:themeColor="hyperlink"/>
      <w:u w:val="single"/>
    </w:rPr>
  </w:style>
  <w:style w:type="character" w:styleId="UnresolvedMention">
    <w:name w:val="Unresolved Mention"/>
    <w:basedOn w:val="DefaultParagraphFont"/>
    <w:uiPriority w:val="99"/>
    <w:semiHidden/>
    <w:unhideWhenUsed/>
    <w:rsid w:val="006A65C0"/>
    <w:rPr>
      <w:color w:val="605E5C"/>
      <w:shd w:val="clear" w:color="auto" w:fill="E1DFDD"/>
    </w:rPr>
  </w:style>
  <w:style w:type="paragraph" w:customStyle="1" w:styleId="Body">
    <w:name w:val="Body"/>
    <w:rsid w:val="00212340"/>
    <w:pPr>
      <w:pBdr>
        <w:top w:val="nil"/>
        <w:left w:val="nil"/>
        <w:bottom w:val="nil"/>
        <w:right w:val="nil"/>
        <w:between w:val="nil"/>
        <w:bar w:val="nil"/>
      </w:pBdr>
    </w:pPr>
    <w:rPr>
      <w:rFonts w:ascii="Calibri" w:eastAsia="Calibri" w:hAnsi="Calibri" w:cs="Calibri"/>
      <w:color w:val="000000"/>
      <w:u w:color="000000"/>
      <w:bdr w:val="nil"/>
      <w:lang w:val="en-GB" w:eastAsia="zh-CN"/>
    </w:rPr>
  </w:style>
  <w:style w:type="character" w:styleId="FollowedHyperlink">
    <w:name w:val="FollowedHyperlink"/>
    <w:basedOn w:val="DefaultParagraphFont"/>
    <w:uiPriority w:val="99"/>
    <w:semiHidden/>
    <w:unhideWhenUsed/>
    <w:rsid w:val="00FF56BA"/>
    <w:rPr>
      <w:color w:val="800080" w:themeColor="followedHyperlink"/>
      <w:u w:val="single"/>
    </w:rPr>
  </w:style>
  <w:style w:type="character" w:styleId="CommentReference">
    <w:name w:val="annotation reference"/>
    <w:basedOn w:val="DefaultParagraphFont"/>
    <w:uiPriority w:val="99"/>
    <w:semiHidden/>
    <w:unhideWhenUsed/>
    <w:rsid w:val="00FF56BA"/>
    <w:rPr>
      <w:sz w:val="16"/>
      <w:szCs w:val="16"/>
    </w:rPr>
  </w:style>
  <w:style w:type="paragraph" w:styleId="CommentText">
    <w:name w:val="annotation text"/>
    <w:basedOn w:val="Normal"/>
    <w:link w:val="CommentTextChar"/>
    <w:uiPriority w:val="99"/>
    <w:semiHidden/>
    <w:unhideWhenUsed/>
    <w:rsid w:val="00FF56BA"/>
    <w:pPr>
      <w:spacing w:line="240" w:lineRule="auto"/>
    </w:pPr>
    <w:rPr>
      <w:sz w:val="20"/>
      <w:szCs w:val="20"/>
    </w:rPr>
  </w:style>
  <w:style w:type="character" w:customStyle="1" w:styleId="CommentTextChar">
    <w:name w:val="Comment Text Char"/>
    <w:basedOn w:val="DefaultParagraphFont"/>
    <w:link w:val="CommentText"/>
    <w:uiPriority w:val="99"/>
    <w:semiHidden/>
    <w:rsid w:val="00FF56BA"/>
    <w:rPr>
      <w:sz w:val="20"/>
      <w:szCs w:val="20"/>
    </w:rPr>
  </w:style>
  <w:style w:type="paragraph" w:styleId="CommentSubject">
    <w:name w:val="annotation subject"/>
    <w:basedOn w:val="CommentText"/>
    <w:next w:val="CommentText"/>
    <w:link w:val="CommentSubjectChar"/>
    <w:uiPriority w:val="99"/>
    <w:semiHidden/>
    <w:unhideWhenUsed/>
    <w:rsid w:val="00FF56BA"/>
    <w:rPr>
      <w:b/>
      <w:bCs/>
    </w:rPr>
  </w:style>
  <w:style w:type="character" w:customStyle="1" w:styleId="CommentSubjectChar">
    <w:name w:val="Comment Subject Char"/>
    <w:basedOn w:val="CommentTextChar"/>
    <w:link w:val="CommentSubject"/>
    <w:uiPriority w:val="99"/>
    <w:semiHidden/>
    <w:rsid w:val="00FF56BA"/>
    <w:rPr>
      <w:b/>
      <w:bCs/>
      <w:sz w:val="20"/>
      <w:szCs w:val="20"/>
    </w:rPr>
  </w:style>
  <w:style w:type="paragraph" w:styleId="Header">
    <w:name w:val="header"/>
    <w:basedOn w:val="Normal"/>
    <w:link w:val="HeaderChar"/>
    <w:uiPriority w:val="99"/>
    <w:unhideWhenUsed/>
    <w:rsid w:val="007335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3533"/>
  </w:style>
  <w:style w:type="paragraph" w:styleId="Footer">
    <w:name w:val="footer"/>
    <w:basedOn w:val="Normal"/>
    <w:link w:val="FooterChar"/>
    <w:uiPriority w:val="99"/>
    <w:unhideWhenUsed/>
    <w:rsid w:val="007335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3533"/>
  </w:style>
  <w:style w:type="paragraph" w:customStyle="1" w:styleId="Default">
    <w:name w:val="Default"/>
    <w:rsid w:val="00034A95"/>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E730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056224">
      <w:bodyDiv w:val="1"/>
      <w:marLeft w:val="0"/>
      <w:marRight w:val="0"/>
      <w:marTop w:val="0"/>
      <w:marBottom w:val="0"/>
      <w:divBdr>
        <w:top w:val="none" w:sz="0" w:space="0" w:color="auto"/>
        <w:left w:val="none" w:sz="0" w:space="0" w:color="auto"/>
        <w:bottom w:val="none" w:sz="0" w:space="0" w:color="auto"/>
        <w:right w:val="none" w:sz="0" w:space="0" w:color="auto"/>
      </w:divBdr>
    </w:div>
    <w:div w:id="293604344">
      <w:bodyDiv w:val="1"/>
      <w:marLeft w:val="0"/>
      <w:marRight w:val="0"/>
      <w:marTop w:val="0"/>
      <w:marBottom w:val="0"/>
      <w:divBdr>
        <w:top w:val="none" w:sz="0" w:space="0" w:color="auto"/>
        <w:left w:val="none" w:sz="0" w:space="0" w:color="auto"/>
        <w:bottom w:val="none" w:sz="0" w:space="0" w:color="auto"/>
        <w:right w:val="none" w:sz="0" w:space="0" w:color="auto"/>
      </w:divBdr>
    </w:div>
    <w:div w:id="604505009">
      <w:bodyDiv w:val="1"/>
      <w:marLeft w:val="0"/>
      <w:marRight w:val="0"/>
      <w:marTop w:val="0"/>
      <w:marBottom w:val="0"/>
      <w:divBdr>
        <w:top w:val="none" w:sz="0" w:space="0" w:color="auto"/>
        <w:left w:val="none" w:sz="0" w:space="0" w:color="auto"/>
        <w:bottom w:val="none" w:sz="0" w:space="0" w:color="auto"/>
        <w:right w:val="none" w:sz="0" w:space="0" w:color="auto"/>
      </w:divBdr>
    </w:div>
    <w:div w:id="621764166">
      <w:bodyDiv w:val="1"/>
      <w:marLeft w:val="0"/>
      <w:marRight w:val="0"/>
      <w:marTop w:val="0"/>
      <w:marBottom w:val="0"/>
      <w:divBdr>
        <w:top w:val="none" w:sz="0" w:space="0" w:color="auto"/>
        <w:left w:val="none" w:sz="0" w:space="0" w:color="auto"/>
        <w:bottom w:val="none" w:sz="0" w:space="0" w:color="auto"/>
        <w:right w:val="none" w:sz="0" w:space="0" w:color="auto"/>
      </w:divBdr>
    </w:div>
    <w:div w:id="737630315">
      <w:bodyDiv w:val="1"/>
      <w:marLeft w:val="0"/>
      <w:marRight w:val="0"/>
      <w:marTop w:val="0"/>
      <w:marBottom w:val="0"/>
      <w:divBdr>
        <w:top w:val="none" w:sz="0" w:space="0" w:color="auto"/>
        <w:left w:val="none" w:sz="0" w:space="0" w:color="auto"/>
        <w:bottom w:val="none" w:sz="0" w:space="0" w:color="auto"/>
        <w:right w:val="none" w:sz="0" w:space="0" w:color="auto"/>
      </w:divBdr>
      <w:divsChild>
        <w:div w:id="117726221">
          <w:marLeft w:val="634"/>
          <w:marRight w:val="0"/>
          <w:marTop w:val="0"/>
          <w:marBottom w:val="0"/>
          <w:divBdr>
            <w:top w:val="none" w:sz="0" w:space="0" w:color="auto"/>
            <w:left w:val="none" w:sz="0" w:space="0" w:color="auto"/>
            <w:bottom w:val="none" w:sz="0" w:space="0" w:color="auto"/>
            <w:right w:val="none" w:sz="0" w:space="0" w:color="auto"/>
          </w:divBdr>
        </w:div>
        <w:div w:id="141966827">
          <w:marLeft w:val="547"/>
          <w:marRight w:val="0"/>
          <w:marTop w:val="0"/>
          <w:marBottom w:val="0"/>
          <w:divBdr>
            <w:top w:val="none" w:sz="0" w:space="0" w:color="auto"/>
            <w:left w:val="none" w:sz="0" w:space="0" w:color="auto"/>
            <w:bottom w:val="none" w:sz="0" w:space="0" w:color="auto"/>
            <w:right w:val="none" w:sz="0" w:space="0" w:color="auto"/>
          </w:divBdr>
        </w:div>
        <w:div w:id="142309698">
          <w:marLeft w:val="547"/>
          <w:marRight w:val="0"/>
          <w:marTop w:val="0"/>
          <w:marBottom w:val="0"/>
          <w:divBdr>
            <w:top w:val="none" w:sz="0" w:space="0" w:color="auto"/>
            <w:left w:val="none" w:sz="0" w:space="0" w:color="auto"/>
            <w:bottom w:val="none" w:sz="0" w:space="0" w:color="auto"/>
            <w:right w:val="none" w:sz="0" w:space="0" w:color="auto"/>
          </w:divBdr>
        </w:div>
        <w:div w:id="148636296">
          <w:marLeft w:val="547"/>
          <w:marRight w:val="0"/>
          <w:marTop w:val="0"/>
          <w:marBottom w:val="0"/>
          <w:divBdr>
            <w:top w:val="none" w:sz="0" w:space="0" w:color="auto"/>
            <w:left w:val="none" w:sz="0" w:space="0" w:color="auto"/>
            <w:bottom w:val="none" w:sz="0" w:space="0" w:color="auto"/>
            <w:right w:val="none" w:sz="0" w:space="0" w:color="auto"/>
          </w:divBdr>
        </w:div>
        <w:div w:id="220561353">
          <w:marLeft w:val="547"/>
          <w:marRight w:val="0"/>
          <w:marTop w:val="0"/>
          <w:marBottom w:val="0"/>
          <w:divBdr>
            <w:top w:val="none" w:sz="0" w:space="0" w:color="auto"/>
            <w:left w:val="none" w:sz="0" w:space="0" w:color="auto"/>
            <w:bottom w:val="none" w:sz="0" w:space="0" w:color="auto"/>
            <w:right w:val="none" w:sz="0" w:space="0" w:color="auto"/>
          </w:divBdr>
        </w:div>
        <w:div w:id="240916017">
          <w:marLeft w:val="547"/>
          <w:marRight w:val="0"/>
          <w:marTop w:val="0"/>
          <w:marBottom w:val="0"/>
          <w:divBdr>
            <w:top w:val="none" w:sz="0" w:space="0" w:color="auto"/>
            <w:left w:val="none" w:sz="0" w:space="0" w:color="auto"/>
            <w:bottom w:val="none" w:sz="0" w:space="0" w:color="auto"/>
            <w:right w:val="none" w:sz="0" w:space="0" w:color="auto"/>
          </w:divBdr>
        </w:div>
        <w:div w:id="243997604">
          <w:marLeft w:val="634"/>
          <w:marRight w:val="0"/>
          <w:marTop w:val="0"/>
          <w:marBottom w:val="0"/>
          <w:divBdr>
            <w:top w:val="none" w:sz="0" w:space="0" w:color="auto"/>
            <w:left w:val="none" w:sz="0" w:space="0" w:color="auto"/>
            <w:bottom w:val="none" w:sz="0" w:space="0" w:color="auto"/>
            <w:right w:val="none" w:sz="0" w:space="0" w:color="auto"/>
          </w:divBdr>
        </w:div>
        <w:div w:id="279383103">
          <w:marLeft w:val="634"/>
          <w:marRight w:val="0"/>
          <w:marTop w:val="0"/>
          <w:marBottom w:val="0"/>
          <w:divBdr>
            <w:top w:val="none" w:sz="0" w:space="0" w:color="auto"/>
            <w:left w:val="none" w:sz="0" w:space="0" w:color="auto"/>
            <w:bottom w:val="none" w:sz="0" w:space="0" w:color="auto"/>
            <w:right w:val="none" w:sz="0" w:space="0" w:color="auto"/>
          </w:divBdr>
        </w:div>
        <w:div w:id="301735642">
          <w:marLeft w:val="547"/>
          <w:marRight w:val="0"/>
          <w:marTop w:val="0"/>
          <w:marBottom w:val="0"/>
          <w:divBdr>
            <w:top w:val="none" w:sz="0" w:space="0" w:color="auto"/>
            <w:left w:val="none" w:sz="0" w:space="0" w:color="auto"/>
            <w:bottom w:val="none" w:sz="0" w:space="0" w:color="auto"/>
            <w:right w:val="none" w:sz="0" w:space="0" w:color="auto"/>
          </w:divBdr>
        </w:div>
        <w:div w:id="483855353">
          <w:marLeft w:val="634"/>
          <w:marRight w:val="0"/>
          <w:marTop w:val="0"/>
          <w:marBottom w:val="0"/>
          <w:divBdr>
            <w:top w:val="none" w:sz="0" w:space="0" w:color="auto"/>
            <w:left w:val="none" w:sz="0" w:space="0" w:color="auto"/>
            <w:bottom w:val="none" w:sz="0" w:space="0" w:color="auto"/>
            <w:right w:val="none" w:sz="0" w:space="0" w:color="auto"/>
          </w:divBdr>
        </w:div>
        <w:div w:id="626811969">
          <w:marLeft w:val="547"/>
          <w:marRight w:val="0"/>
          <w:marTop w:val="0"/>
          <w:marBottom w:val="0"/>
          <w:divBdr>
            <w:top w:val="none" w:sz="0" w:space="0" w:color="auto"/>
            <w:left w:val="none" w:sz="0" w:space="0" w:color="auto"/>
            <w:bottom w:val="none" w:sz="0" w:space="0" w:color="auto"/>
            <w:right w:val="none" w:sz="0" w:space="0" w:color="auto"/>
          </w:divBdr>
        </w:div>
        <w:div w:id="694309462">
          <w:marLeft w:val="634"/>
          <w:marRight w:val="0"/>
          <w:marTop w:val="0"/>
          <w:marBottom w:val="0"/>
          <w:divBdr>
            <w:top w:val="none" w:sz="0" w:space="0" w:color="auto"/>
            <w:left w:val="none" w:sz="0" w:space="0" w:color="auto"/>
            <w:bottom w:val="none" w:sz="0" w:space="0" w:color="auto"/>
            <w:right w:val="none" w:sz="0" w:space="0" w:color="auto"/>
          </w:divBdr>
        </w:div>
        <w:div w:id="721904757">
          <w:marLeft w:val="1166"/>
          <w:marRight w:val="0"/>
          <w:marTop w:val="0"/>
          <w:marBottom w:val="0"/>
          <w:divBdr>
            <w:top w:val="none" w:sz="0" w:space="0" w:color="auto"/>
            <w:left w:val="none" w:sz="0" w:space="0" w:color="auto"/>
            <w:bottom w:val="none" w:sz="0" w:space="0" w:color="auto"/>
            <w:right w:val="none" w:sz="0" w:space="0" w:color="auto"/>
          </w:divBdr>
        </w:div>
        <w:div w:id="767579554">
          <w:marLeft w:val="547"/>
          <w:marRight w:val="0"/>
          <w:marTop w:val="0"/>
          <w:marBottom w:val="0"/>
          <w:divBdr>
            <w:top w:val="none" w:sz="0" w:space="0" w:color="auto"/>
            <w:left w:val="none" w:sz="0" w:space="0" w:color="auto"/>
            <w:bottom w:val="none" w:sz="0" w:space="0" w:color="auto"/>
            <w:right w:val="none" w:sz="0" w:space="0" w:color="auto"/>
          </w:divBdr>
        </w:div>
        <w:div w:id="789710395">
          <w:marLeft w:val="634"/>
          <w:marRight w:val="0"/>
          <w:marTop w:val="0"/>
          <w:marBottom w:val="0"/>
          <w:divBdr>
            <w:top w:val="none" w:sz="0" w:space="0" w:color="auto"/>
            <w:left w:val="none" w:sz="0" w:space="0" w:color="auto"/>
            <w:bottom w:val="none" w:sz="0" w:space="0" w:color="auto"/>
            <w:right w:val="none" w:sz="0" w:space="0" w:color="auto"/>
          </w:divBdr>
        </w:div>
        <w:div w:id="836845441">
          <w:marLeft w:val="547"/>
          <w:marRight w:val="0"/>
          <w:marTop w:val="0"/>
          <w:marBottom w:val="0"/>
          <w:divBdr>
            <w:top w:val="none" w:sz="0" w:space="0" w:color="auto"/>
            <w:left w:val="none" w:sz="0" w:space="0" w:color="auto"/>
            <w:bottom w:val="none" w:sz="0" w:space="0" w:color="auto"/>
            <w:right w:val="none" w:sz="0" w:space="0" w:color="auto"/>
          </w:divBdr>
        </w:div>
        <w:div w:id="837774621">
          <w:marLeft w:val="547"/>
          <w:marRight w:val="0"/>
          <w:marTop w:val="0"/>
          <w:marBottom w:val="0"/>
          <w:divBdr>
            <w:top w:val="none" w:sz="0" w:space="0" w:color="auto"/>
            <w:left w:val="none" w:sz="0" w:space="0" w:color="auto"/>
            <w:bottom w:val="none" w:sz="0" w:space="0" w:color="auto"/>
            <w:right w:val="none" w:sz="0" w:space="0" w:color="auto"/>
          </w:divBdr>
        </w:div>
        <w:div w:id="839852246">
          <w:marLeft w:val="547"/>
          <w:marRight w:val="0"/>
          <w:marTop w:val="0"/>
          <w:marBottom w:val="0"/>
          <w:divBdr>
            <w:top w:val="none" w:sz="0" w:space="0" w:color="auto"/>
            <w:left w:val="none" w:sz="0" w:space="0" w:color="auto"/>
            <w:bottom w:val="none" w:sz="0" w:space="0" w:color="auto"/>
            <w:right w:val="none" w:sz="0" w:space="0" w:color="auto"/>
          </w:divBdr>
        </w:div>
        <w:div w:id="891887071">
          <w:marLeft w:val="634"/>
          <w:marRight w:val="0"/>
          <w:marTop w:val="0"/>
          <w:marBottom w:val="0"/>
          <w:divBdr>
            <w:top w:val="none" w:sz="0" w:space="0" w:color="auto"/>
            <w:left w:val="none" w:sz="0" w:space="0" w:color="auto"/>
            <w:bottom w:val="none" w:sz="0" w:space="0" w:color="auto"/>
            <w:right w:val="none" w:sz="0" w:space="0" w:color="auto"/>
          </w:divBdr>
        </w:div>
        <w:div w:id="951977743">
          <w:marLeft w:val="634"/>
          <w:marRight w:val="0"/>
          <w:marTop w:val="0"/>
          <w:marBottom w:val="0"/>
          <w:divBdr>
            <w:top w:val="none" w:sz="0" w:space="0" w:color="auto"/>
            <w:left w:val="none" w:sz="0" w:space="0" w:color="auto"/>
            <w:bottom w:val="none" w:sz="0" w:space="0" w:color="auto"/>
            <w:right w:val="none" w:sz="0" w:space="0" w:color="auto"/>
          </w:divBdr>
        </w:div>
        <w:div w:id="952441791">
          <w:marLeft w:val="634"/>
          <w:marRight w:val="0"/>
          <w:marTop w:val="0"/>
          <w:marBottom w:val="0"/>
          <w:divBdr>
            <w:top w:val="none" w:sz="0" w:space="0" w:color="auto"/>
            <w:left w:val="none" w:sz="0" w:space="0" w:color="auto"/>
            <w:bottom w:val="none" w:sz="0" w:space="0" w:color="auto"/>
            <w:right w:val="none" w:sz="0" w:space="0" w:color="auto"/>
          </w:divBdr>
        </w:div>
        <w:div w:id="952787451">
          <w:marLeft w:val="547"/>
          <w:marRight w:val="0"/>
          <w:marTop w:val="0"/>
          <w:marBottom w:val="0"/>
          <w:divBdr>
            <w:top w:val="none" w:sz="0" w:space="0" w:color="auto"/>
            <w:left w:val="none" w:sz="0" w:space="0" w:color="auto"/>
            <w:bottom w:val="none" w:sz="0" w:space="0" w:color="auto"/>
            <w:right w:val="none" w:sz="0" w:space="0" w:color="auto"/>
          </w:divBdr>
        </w:div>
        <w:div w:id="981733104">
          <w:marLeft w:val="634"/>
          <w:marRight w:val="0"/>
          <w:marTop w:val="0"/>
          <w:marBottom w:val="0"/>
          <w:divBdr>
            <w:top w:val="none" w:sz="0" w:space="0" w:color="auto"/>
            <w:left w:val="none" w:sz="0" w:space="0" w:color="auto"/>
            <w:bottom w:val="none" w:sz="0" w:space="0" w:color="auto"/>
            <w:right w:val="none" w:sz="0" w:space="0" w:color="auto"/>
          </w:divBdr>
        </w:div>
        <w:div w:id="1021974136">
          <w:marLeft w:val="634"/>
          <w:marRight w:val="0"/>
          <w:marTop w:val="0"/>
          <w:marBottom w:val="0"/>
          <w:divBdr>
            <w:top w:val="none" w:sz="0" w:space="0" w:color="auto"/>
            <w:left w:val="none" w:sz="0" w:space="0" w:color="auto"/>
            <w:bottom w:val="none" w:sz="0" w:space="0" w:color="auto"/>
            <w:right w:val="none" w:sz="0" w:space="0" w:color="auto"/>
          </w:divBdr>
        </w:div>
        <w:div w:id="1031078608">
          <w:marLeft w:val="547"/>
          <w:marRight w:val="0"/>
          <w:marTop w:val="0"/>
          <w:marBottom w:val="0"/>
          <w:divBdr>
            <w:top w:val="none" w:sz="0" w:space="0" w:color="auto"/>
            <w:left w:val="none" w:sz="0" w:space="0" w:color="auto"/>
            <w:bottom w:val="none" w:sz="0" w:space="0" w:color="auto"/>
            <w:right w:val="none" w:sz="0" w:space="0" w:color="auto"/>
          </w:divBdr>
        </w:div>
        <w:div w:id="1048804221">
          <w:marLeft w:val="1166"/>
          <w:marRight w:val="0"/>
          <w:marTop w:val="0"/>
          <w:marBottom w:val="0"/>
          <w:divBdr>
            <w:top w:val="none" w:sz="0" w:space="0" w:color="auto"/>
            <w:left w:val="none" w:sz="0" w:space="0" w:color="auto"/>
            <w:bottom w:val="none" w:sz="0" w:space="0" w:color="auto"/>
            <w:right w:val="none" w:sz="0" w:space="0" w:color="auto"/>
          </w:divBdr>
        </w:div>
        <w:div w:id="1096250573">
          <w:marLeft w:val="547"/>
          <w:marRight w:val="0"/>
          <w:marTop w:val="0"/>
          <w:marBottom w:val="0"/>
          <w:divBdr>
            <w:top w:val="none" w:sz="0" w:space="0" w:color="auto"/>
            <w:left w:val="none" w:sz="0" w:space="0" w:color="auto"/>
            <w:bottom w:val="none" w:sz="0" w:space="0" w:color="auto"/>
            <w:right w:val="none" w:sz="0" w:space="0" w:color="auto"/>
          </w:divBdr>
        </w:div>
        <w:div w:id="1192303557">
          <w:marLeft w:val="547"/>
          <w:marRight w:val="0"/>
          <w:marTop w:val="0"/>
          <w:marBottom w:val="0"/>
          <w:divBdr>
            <w:top w:val="none" w:sz="0" w:space="0" w:color="auto"/>
            <w:left w:val="none" w:sz="0" w:space="0" w:color="auto"/>
            <w:bottom w:val="none" w:sz="0" w:space="0" w:color="auto"/>
            <w:right w:val="none" w:sz="0" w:space="0" w:color="auto"/>
          </w:divBdr>
        </w:div>
        <w:div w:id="1217468200">
          <w:marLeft w:val="634"/>
          <w:marRight w:val="0"/>
          <w:marTop w:val="0"/>
          <w:marBottom w:val="0"/>
          <w:divBdr>
            <w:top w:val="none" w:sz="0" w:space="0" w:color="auto"/>
            <w:left w:val="none" w:sz="0" w:space="0" w:color="auto"/>
            <w:bottom w:val="none" w:sz="0" w:space="0" w:color="auto"/>
            <w:right w:val="none" w:sz="0" w:space="0" w:color="auto"/>
          </w:divBdr>
        </w:div>
        <w:div w:id="1243756690">
          <w:marLeft w:val="634"/>
          <w:marRight w:val="0"/>
          <w:marTop w:val="0"/>
          <w:marBottom w:val="0"/>
          <w:divBdr>
            <w:top w:val="none" w:sz="0" w:space="0" w:color="auto"/>
            <w:left w:val="none" w:sz="0" w:space="0" w:color="auto"/>
            <w:bottom w:val="none" w:sz="0" w:space="0" w:color="auto"/>
            <w:right w:val="none" w:sz="0" w:space="0" w:color="auto"/>
          </w:divBdr>
        </w:div>
        <w:div w:id="1283002281">
          <w:marLeft w:val="1166"/>
          <w:marRight w:val="0"/>
          <w:marTop w:val="0"/>
          <w:marBottom w:val="0"/>
          <w:divBdr>
            <w:top w:val="none" w:sz="0" w:space="0" w:color="auto"/>
            <w:left w:val="none" w:sz="0" w:space="0" w:color="auto"/>
            <w:bottom w:val="none" w:sz="0" w:space="0" w:color="auto"/>
            <w:right w:val="none" w:sz="0" w:space="0" w:color="auto"/>
          </w:divBdr>
        </w:div>
        <w:div w:id="1343822448">
          <w:marLeft w:val="634"/>
          <w:marRight w:val="0"/>
          <w:marTop w:val="0"/>
          <w:marBottom w:val="0"/>
          <w:divBdr>
            <w:top w:val="none" w:sz="0" w:space="0" w:color="auto"/>
            <w:left w:val="none" w:sz="0" w:space="0" w:color="auto"/>
            <w:bottom w:val="none" w:sz="0" w:space="0" w:color="auto"/>
            <w:right w:val="none" w:sz="0" w:space="0" w:color="auto"/>
          </w:divBdr>
        </w:div>
        <w:div w:id="1482387848">
          <w:marLeft w:val="1166"/>
          <w:marRight w:val="0"/>
          <w:marTop w:val="0"/>
          <w:marBottom w:val="0"/>
          <w:divBdr>
            <w:top w:val="none" w:sz="0" w:space="0" w:color="auto"/>
            <w:left w:val="none" w:sz="0" w:space="0" w:color="auto"/>
            <w:bottom w:val="none" w:sz="0" w:space="0" w:color="auto"/>
            <w:right w:val="none" w:sz="0" w:space="0" w:color="auto"/>
          </w:divBdr>
        </w:div>
        <w:div w:id="1600599795">
          <w:marLeft w:val="547"/>
          <w:marRight w:val="0"/>
          <w:marTop w:val="0"/>
          <w:marBottom w:val="0"/>
          <w:divBdr>
            <w:top w:val="none" w:sz="0" w:space="0" w:color="auto"/>
            <w:left w:val="none" w:sz="0" w:space="0" w:color="auto"/>
            <w:bottom w:val="none" w:sz="0" w:space="0" w:color="auto"/>
            <w:right w:val="none" w:sz="0" w:space="0" w:color="auto"/>
          </w:divBdr>
        </w:div>
        <w:div w:id="1632055193">
          <w:marLeft w:val="547"/>
          <w:marRight w:val="0"/>
          <w:marTop w:val="0"/>
          <w:marBottom w:val="0"/>
          <w:divBdr>
            <w:top w:val="none" w:sz="0" w:space="0" w:color="auto"/>
            <w:left w:val="none" w:sz="0" w:space="0" w:color="auto"/>
            <w:bottom w:val="none" w:sz="0" w:space="0" w:color="auto"/>
            <w:right w:val="none" w:sz="0" w:space="0" w:color="auto"/>
          </w:divBdr>
        </w:div>
        <w:div w:id="1656373039">
          <w:marLeft w:val="547"/>
          <w:marRight w:val="0"/>
          <w:marTop w:val="0"/>
          <w:marBottom w:val="0"/>
          <w:divBdr>
            <w:top w:val="none" w:sz="0" w:space="0" w:color="auto"/>
            <w:left w:val="none" w:sz="0" w:space="0" w:color="auto"/>
            <w:bottom w:val="none" w:sz="0" w:space="0" w:color="auto"/>
            <w:right w:val="none" w:sz="0" w:space="0" w:color="auto"/>
          </w:divBdr>
        </w:div>
        <w:div w:id="1801024064">
          <w:marLeft w:val="634"/>
          <w:marRight w:val="0"/>
          <w:marTop w:val="0"/>
          <w:marBottom w:val="0"/>
          <w:divBdr>
            <w:top w:val="none" w:sz="0" w:space="0" w:color="auto"/>
            <w:left w:val="none" w:sz="0" w:space="0" w:color="auto"/>
            <w:bottom w:val="none" w:sz="0" w:space="0" w:color="auto"/>
            <w:right w:val="none" w:sz="0" w:space="0" w:color="auto"/>
          </w:divBdr>
        </w:div>
        <w:div w:id="1819419250">
          <w:marLeft w:val="1166"/>
          <w:marRight w:val="0"/>
          <w:marTop w:val="0"/>
          <w:marBottom w:val="0"/>
          <w:divBdr>
            <w:top w:val="none" w:sz="0" w:space="0" w:color="auto"/>
            <w:left w:val="none" w:sz="0" w:space="0" w:color="auto"/>
            <w:bottom w:val="none" w:sz="0" w:space="0" w:color="auto"/>
            <w:right w:val="none" w:sz="0" w:space="0" w:color="auto"/>
          </w:divBdr>
        </w:div>
        <w:div w:id="1848904639">
          <w:marLeft w:val="547"/>
          <w:marRight w:val="0"/>
          <w:marTop w:val="0"/>
          <w:marBottom w:val="0"/>
          <w:divBdr>
            <w:top w:val="none" w:sz="0" w:space="0" w:color="auto"/>
            <w:left w:val="none" w:sz="0" w:space="0" w:color="auto"/>
            <w:bottom w:val="none" w:sz="0" w:space="0" w:color="auto"/>
            <w:right w:val="none" w:sz="0" w:space="0" w:color="auto"/>
          </w:divBdr>
        </w:div>
        <w:div w:id="2021159517">
          <w:marLeft w:val="547"/>
          <w:marRight w:val="0"/>
          <w:marTop w:val="0"/>
          <w:marBottom w:val="0"/>
          <w:divBdr>
            <w:top w:val="none" w:sz="0" w:space="0" w:color="auto"/>
            <w:left w:val="none" w:sz="0" w:space="0" w:color="auto"/>
            <w:bottom w:val="none" w:sz="0" w:space="0" w:color="auto"/>
            <w:right w:val="none" w:sz="0" w:space="0" w:color="auto"/>
          </w:divBdr>
        </w:div>
        <w:div w:id="2086685633">
          <w:marLeft w:val="634"/>
          <w:marRight w:val="0"/>
          <w:marTop w:val="0"/>
          <w:marBottom w:val="0"/>
          <w:divBdr>
            <w:top w:val="none" w:sz="0" w:space="0" w:color="auto"/>
            <w:left w:val="none" w:sz="0" w:space="0" w:color="auto"/>
            <w:bottom w:val="none" w:sz="0" w:space="0" w:color="auto"/>
            <w:right w:val="none" w:sz="0" w:space="0" w:color="auto"/>
          </w:divBdr>
        </w:div>
        <w:div w:id="2146584842">
          <w:marLeft w:val="1166"/>
          <w:marRight w:val="0"/>
          <w:marTop w:val="0"/>
          <w:marBottom w:val="0"/>
          <w:divBdr>
            <w:top w:val="none" w:sz="0" w:space="0" w:color="auto"/>
            <w:left w:val="none" w:sz="0" w:space="0" w:color="auto"/>
            <w:bottom w:val="none" w:sz="0" w:space="0" w:color="auto"/>
            <w:right w:val="none" w:sz="0" w:space="0" w:color="auto"/>
          </w:divBdr>
        </w:div>
      </w:divsChild>
    </w:div>
    <w:div w:id="776877035">
      <w:bodyDiv w:val="1"/>
      <w:marLeft w:val="0"/>
      <w:marRight w:val="0"/>
      <w:marTop w:val="0"/>
      <w:marBottom w:val="0"/>
      <w:divBdr>
        <w:top w:val="none" w:sz="0" w:space="0" w:color="auto"/>
        <w:left w:val="none" w:sz="0" w:space="0" w:color="auto"/>
        <w:bottom w:val="none" w:sz="0" w:space="0" w:color="auto"/>
        <w:right w:val="none" w:sz="0" w:space="0" w:color="auto"/>
      </w:divBdr>
    </w:div>
    <w:div w:id="845247946">
      <w:bodyDiv w:val="1"/>
      <w:marLeft w:val="0"/>
      <w:marRight w:val="0"/>
      <w:marTop w:val="0"/>
      <w:marBottom w:val="0"/>
      <w:divBdr>
        <w:top w:val="none" w:sz="0" w:space="0" w:color="auto"/>
        <w:left w:val="none" w:sz="0" w:space="0" w:color="auto"/>
        <w:bottom w:val="none" w:sz="0" w:space="0" w:color="auto"/>
        <w:right w:val="none" w:sz="0" w:space="0" w:color="auto"/>
      </w:divBdr>
    </w:div>
    <w:div w:id="889875705">
      <w:bodyDiv w:val="1"/>
      <w:marLeft w:val="0"/>
      <w:marRight w:val="0"/>
      <w:marTop w:val="0"/>
      <w:marBottom w:val="0"/>
      <w:divBdr>
        <w:top w:val="none" w:sz="0" w:space="0" w:color="auto"/>
        <w:left w:val="none" w:sz="0" w:space="0" w:color="auto"/>
        <w:bottom w:val="none" w:sz="0" w:space="0" w:color="auto"/>
        <w:right w:val="none" w:sz="0" w:space="0" w:color="auto"/>
      </w:divBdr>
    </w:div>
    <w:div w:id="1126772629">
      <w:bodyDiv w:val="1"/>
      <w:marLeft w:val="0"/>
      <w:marRight w:val="0"/>
      <w:marTop w:val="0"/>
      <w:marBottom w:val="0"/>
      <w:divBdr>
        <w:top w:val="none" w:sz="0" w:space="0" w:color="auto"/>
        <w:left w:val="none" w:sz="0" w:space="0" w:color="auto"/>
        <w:bottom w:val="none" w:sz="0" w:space="0" w:color="auto"/>
        <w:right w:val="none" w:sz="0" w:space="0" w:color="auto"/>
      </w:divBdr>
    </w:div>
    <w:div w:id="1382747380">
      <w:bodyDiv w:val="1"/>
      <w:marLeft w:val="0"/>
      <w:marRight w:val="0"/>
      <w:marTop w:val="0"/>
      <w:marBottom w:val="0"/>
      <w:divBdr>
        <w:top w:val="none" w:sz="0" w:space="0" w:color="auto"/>
        <w:left w:val="none" w:sz="0" w:space="0" w:color="auto"/>
        <w:bottom w:val="none" w:sz="0" w:space="0" w:color="auto"/>
        <w:right w:val="none" w:sz="0" w:space="0" w:color="auto"/>
      </w:divBdr>
    </w:div>
    <w:div w:id="1446540845">
      <w:bodyDiv w:val="1"/>
      <w:marLeft w:val="0"/>
      <w:marRight w:val="0"/>
      <w:marTop w:val="0"/>
      <w:marBottom w:val="0"/>
      <w:divBdr>
        <w:top w:val="none" w:sz="0" w:space="0" w:color="auto"/>
        <w:left w:val="none" w:sz="0" w:space="0" w:color="auto"/>
        <w:bottom w:val="none" w:sz="0" w:space="0" w:color="auto"/>
        <w:right w:val="none" w:sz="0" w:space="0" w:color="auto"/>
      </w:divBdr>
    </w:div>
    <w:div w:id="1511217271">
      <w:bodyDiv w:val="1"/>
      <w:marLeft w:val="0"/>
      <w:marRight w:val="0"/>
      <w:marTop w:val="0"/>
      <w:marBottom w:val="0"/>
      <w:divBdr>
        <w:top w:val="none" w:sz="0" w:space="0" w:color="auto"/>
        <w:left w:val="none" w:sz="0" w:space="0" w:color="auto"/>
        <w:bottom w:val="none" w:sz="0" w:space="0" w:color="auto"/>
        <w:right w:val="none" w:sz="0" w:space="0" w:color="auto"/>
      </w:divBdr>
    </w:div>
    <w:div w:id="1676418286">
      <w:bodyDiv w:val="1"/>
      <w:marLeft w:val="0"/>
      <w:marRight w:val="0"/>
      <w:marTop w:val="0"/>
      <w:marBottom w:val="0"/>
      <w:divBdr>
        <w:top w:val="none" w:sz="0" w:space="0" w:color="auto"/>
        <w:left w:val="none" w:sz="0" w:space="0" w:color="auto"/>
        <w:bottom w:val="none" w:sz="0" w:space="0" w:color="auto"/>
        <w:right w:val="none" w:sz="0" w:space="0" w:color="auto"/>
      </w:divBdr>
    </w:div>
    <w:div w:id="1988896638">
      <w:bodyDiv w:val="1"/>
      <w:marLeft w:val="0"/>
      <w:marRight w:val="0"/>
      <w:marTop w:val="0"/>
      <w:marBottom w:val="0"/>
      <w:divBdr>
        <w:top w:val="none" w:sz="0" w:space="0" w:color="auto"/>
        <w:left w:val="none" w:sz="0" w:space="0" w:color="auto"/>
        <w:bottom w:val="none" w:sz="0" w:space="0" w:color="auto"/>
        <w:right w:val="none" w:sz="0" w:space="0" w:color="auto"/>
      </w:divBdr>
    </w:div>
    <w:div w:id="2061173297">
      <w:bodyDiv w:val="1"/>
      <w:marLeft w:val="0"/>
      <w:marRight w:val="0"/>
      <w:marTop w:val="0"/>
      <w:marBottom w:val="0"/>
      <w:divBdr>
        <w:top w:val="none" w:sz="0" w:space="0" w:color="auto"/>
        <w:left w:val="none" w:sz="0" w:space="0" w:color="auto"/>
        <w:bottom w:val="none" w:sz="0" w:space="0" w:color="auto"/>
        <w:right w:val="none" w:sz="0" w:space="0" w:color="auto"/>
      </w:divBdr>
    </w:div>
    <w:div w:id="2116441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uhc2030.org/blog-news-events/uhc2030-news/faced-by-the-covid-19-crisis-it-is-crucial-that-world-leaders-remember-their-universal-health-coverage-commitments-555343/" TargetMode="External"/><Relationship Id="rId26" Type="http://schemas.openxmlformats.org/officeDocument/2006/relationships/hyperlink" Target="https://www.uhc2030.org/blog-news-events/uhc2030-news/open-call-from-uhc2030-co-chairs-to-oecd-dac-ministers-of-development-555429/" TargetMode="External"/><Relationship Id="rId39" Type="http://schemas.openxmlformats.org/officeDocument/2006/relationships/hyperlink" Target="https://www.uhc2030.org/what-we-do/knowledge-and-networks/uhc-data-portal/" TargetMode="External"/><Relationship Id="rId3" Type="http://schemas.openxmlformats.org/officeDocument/2006/relationships/customXml" Target="../customXml/item3.xml"/><Relationship Id="rId21" Type="http://schemas.openxmlformats.org/officeDocument/2006/relationships/hyperlink" Target="https://www.undocs.org/en/A/75/577" TargetMode="External"/><Relationship Id="rId34" Type="http://schemas.openxmlformats.org/officeDocument/2006/relationships/hyperlink" Target="https://www.who.int/alliance-hpsr/callsforproposals/en/" TargetMode="External"/><Relationship Id="rId42" Type="http://schemas.openxmlformats.org/officeDocument/2006/relationships/hyperlink" Target="https://www.uhc2030.org/blog-news-events/uhc2030-blog/access-and-innovation-two-issues-for-the-private-sectors-response-to-covid-19-555360/" TargetMode="External"/><Relationship Id="rId47" Type="http://schemas.openxmlformats.org/officeDocument/2006/relationships/hyperlink" Target="https://www.un.org/development/desa/en/news/nocat-uncategorized/covid-19-a-test-for-political-leaders.html"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uhc2030.org/blog-news-events/uhc2030-news/an-open-message-from-the-uhc2030-co-chairs-to-the-unga-ministerial-meeting-on-uhc-555421/" TargetMode="External"/><Relationship Id="rId33" Type="http://schemas.openxmlformats.org/officeDocument/2006/relationships/hyperlink" Target="https://www.uhc2030.org/blog-news-events/uhc2030-blog/how-covid-19-is-reshaping-priorities-for-both-domestic-resources-and-development-assistance-in-the-health-sector-555362/" TargetMode="External"/><Relationship Id="rId38" Type="http://schemas.openxmlformats.org/officeDocument/2006/relationships/hyperlink" Target="https://www.uhc2030.org/blog-news-events/uhc2030-news/all-together-stronger-health-systems-for-uhc-and-health-security-555437/" TargetMode="External"/><Relationship Id="rId46" Type="http://schemas.openxmlformats.org/officeDocument/2006/relationships/hyperlink" Target="https://www.uhc2030.org/blog-news-events/uhc2030-blog/for-an-equitable-covid-19-response-investments-in-civil-society-cannot-wait-555408/"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uhc2030.org/blog-news-events/uhc2030-news/an-open-message-from-the-uhc2030-co-chairs-to-the-unga-ministerial-meeting-on-uhc-555421/" TargetMode="External"/><Relationship Id="rId29" Type="http://schemas.openxmlformats.org/officeDocument/2006/relationships/hyperlink" Target="https://universalhealthcoverageday.org/results/" TargetMode="External"/><Relationship Id="rId41" Type="http://schemas.openxmlformats.org/officeDocument/2006/relationships/hyperlink" Target="https://gh.bmj.com/content/bmjgh/5/5/e002655.full.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uhc2030.org/fileadmin/uploads/uhc2030/Documents/Key_Issues/Health_emergencies_and_UHC/UHC2030_discussion_paper_on_health_emergencies_and_UHC_-_May_2020.pdf" TargetMode="External"/><Relationship Id="rId32" Type="http://schemas.openxmlformats.org/officeDocument/2006/relationships/hyperlink" Target="https://www.uhc2030.org/blog-news-events/uhc2030-news/new-uhc2030-policy-brief-on-covid-19-and-fragile-settings-555438/" TargetMode="External"/><Relationship Id="rId37" Type="http://schemas.openxmlformats.org/officeDocument/2006/relationships/hyperlink" Target="https://www.uhc2030.org/blog-news-events/uhc2030-news/insights-for-health-systems-strengthening-in-the-covid-19-response-555352/" TargetMode="External"/><Relationship Id="rId40" Type="http://schemas.openxmlformats.org/officeDocument/2006/relationships/hyperlink" Target="https://www.uhc2030.org/blog-news-events/uhc2030-blog/sound-the-alarm-people-left-behind-in-decision-making-on-covid-19-555355/" TargetMode="External"/><Relationship Id="rId45" Type="http://schemas.openxmlformats.org/officeDocument/2006/relationships/hyperlink" Target="https://csemonline.net/wp-content/uploads/2020/12/CSEM_Health-And-Economic-Impacts-Of-Covid-19.pdf"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uhc2030.org/blog-news-events/uhc2030-news/faced-by-the-covid-19-crisis-it-is-crucial-that-world-leaders-remember-their-universal-health-coverage-commitments-555343/" TargetMode="External"/><Relationship Id="rId28" Type="http://schemas.openxmlformats.org/officeDocument/2006/relationships/hyperlink" Target="https://csemonline.net/draft-civil-society-calls-to-action-for-covid-19-released/" TargetMode="External"/><Relationship Id="rId36" Type="http://schemas.openxmlformats.org/officeDocument/2006/relationships/hyperlink" Target="https://www.uhc2030.org/fileadmin/uploads/uhc2030/Documents/About_UHC2030/Related_Initiatives/UHC2030_Related_Initiatives_FINAL_April_2020.pdf"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youtube.com/playlist?list=PLc0LmhF6Bj_bhgMrXq2kY9vGd5ZJ0z1ec" TargetMode="External"/><Relationship Id="rId31" Type="http://schemas.openxmlformats.org/officeDocument/2006/relationships/hyperlink" Target="https://www.uhc2030.org/blog-news-events/uhc2030-events/time-to-get-our-act-together-on-uhc-and-health-emergencies-555356/" TargetMode="External"/><Relationship Id="rId44" Type="http://schemas.openxmlformats.org/officeDocument/2006/relationships/hyperlink" Target="https://www.uhc2030.org/fileadmin/uploads/uhc2030/Documents/Key_Issues/Health_emergencies_and_UHC/UHC2030_discussion_paper_on_health_emergencies_and_UHC_-_May_2020.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uhc2030.org/blog-news-events/uhc2030-news/turning-global-commitment-for-uhc-into-national-and-local-action-555369/" TargetMode="External"/><Relationship Id="rId27" Type="http://schemas.openxmlformats.org/officeDocument/2006/relationships/hyperlink" Target="https://www.uhc2030.org/blog-news-events/uhc2030-news/turning-global-commitment-for-uhc-into-national-and-local-action-555369/" TargetMode="External"/><Relationship Id="rId30" Type="http://schemas.openxmlformats.org/officeDocument/2006/relationships/hyperlink" Target="https://csemonline.net/uhc-day-stories/" TargetMode="External"/><Relationship Id="rId35" Type="http://schemas.openxmlformats.org/officeDocument/2006/relationships/hyperlink" Target="https://www.uhc2030.org/blog-news-events/uhc2030-news/public-financial-management-for-universal-health-coverage-why-and-how-it-matters-555436/" TargetMode="External"/><Relationship Id="rId43" Type="http://schemas.openxmlformats.org/officeDocument/2006/relationships/hyperlink" Target="https://www.uhc2030.org/blog-news-events/uhc2030-blog/how-covid-19-is-reshaping-priorities-for-both-domestic-resources-and-development-assistance-in-the-health-sector-555362/" TargetMode="External"/><Relationship Id="rId48"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AEF380C0AFBA499B04D2AECF7E99A2" ma:contentTypeVersion="11" ma:contentTypeDescription="Create a new document." ma:contentTypeScope="" ma:versionID="264848bd1335dcd23bb5a72d8f0107de">
  <xsd:schema xmlns:xsd="http://www.w3.org/2001/XMLSchema" xmlns:xs="http://www.w3.org/2001/XMLSchema" xmlns:p="http://schemas.microsoft.com/office/2006/metadata/properties" xmlns:ns3="e1913b0e-007b-4dd6-b670-cd852eb8b1a1" xmlns:ns4="a62fee0e-93eb-47d0-bb4e-ae29f7bca767" targetNamespace="http://schemas.microsoft.com/office/2006/metadata/properties" ma:root="true" ma:fieldsID="c6fca0d86c1ccb91bfea3b437ba1cac7" ns3:_="" ns4:_="">
    <xsd:import namespace="e1913b0e-007b-4dd6-b670-cd852eb8b1a1"/>
    <xsd:import namespace="a62fee0e-93eb-47d0-bb4e-ae29f7bca76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913b0e-007b-4dd6-b670-cd852eb8b1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2fee0e-93eb-47d0-bb4e-ae29f7bca76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6E836E-2CD8-442A-8BED-5FD455598D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913b0e-007b-4dd6-b670-cd852eb8b1a1"/>
    <ds:schemaRef ds:uri="a62fee0e-93eb-47d0-bb4e-ae29f7bca7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26D5C7-227C-49AF-9AD9-0EE86D04BDA1}">
  <ds:schemaRefs>
    <ds:schemaRef ds:uri="http://purl.org/dc/elements/1.1/"/>
    <ds:schemaRef ds:uri="http://schemas.microsoft.com/office/2006/metadata/properties"/>
    <ds:schemaRef ds:uri="e1913b0e-007b-4dd6-b670-cd852eb8b1a1"/>
    <ds:schemaRef ds:uri="a62fee0e-93eb-47d0-bb4e-ae29f7bca767"/>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25B861A1-F1AD-4F86-B624-CBBA76AA15A6}">
  <ds:schemaRefs>
    <ds:schemaRef ds:uri="http://schemas.microsoft.com/sharepoint/v3/contenttype/forms"/>
  </ds:schemaRefs>
</ds:datastoreItem>
</file>

<file path=customXml/itemProps4.xml><?xml version="1.0" encoding="utf-8"?>
<ds:datastoreItem xmlns:ds="http://schemas.openxmlformats.org/officeDocument/2006/customXml" ds:itemID="{DF739E66-0234-400A-A251-98E9F64DB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6</Pages>
  <Words>2712</Words>
  <Characters>15460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NICOD, Marjolaine</dc:creator>
  <cp:keywords/>
  <dc:description/>
  <cp:lastModifiedBy>GREGORY, Richard</cp:lastModifiedBy>
  <cp:revision>8</cp:revision>
  <dcterms:created xsi:type="dcterms:W3CDTF">2021-01-21T10:38:00Z</dcterms:created>
  <dcterms:modified xsi:type="dcterms:W3CDTF">2021-01-21T17:29:00Z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0x01010014AEF380C0AFBA499B04D2AECF7E99A2</vt:lpwstr>
  </property>
</Properties>
</file>