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007FB" w14:paraId="55327F88" w14:textId="77777777" w:rsidTr="006007FB">
        <w:tc>
          <w:tcPr>
            <w:tcW w:w="5245" w:type="dxa"/>
          </w:tcPr>
          <w:p w14:paraId="6E36693A" w14:textId="77777777" w:rsidR="006007FB" w:rsidRDefault="006007FB" w:rsidP="008501D4">
            <w:pPr>
              <w:rPr>
                <w:rFonts w:asciiTheme="majorHAnsi" w:hAnsiTheme="majorHAnsi" w:cstheme="majorHAnsi"/>
                <w:b/>
                <w:u w:val="single"/>
              </w:rPr>
            </w:pPr>
            <w:bookmarkStart w:id="0" w:name="_GoBack"/>
            <w:bookmarkEnd w:id="0"/>
            <w:r>
              <w:rPr>
                <w:rFonts w:ascii="Arial" w:hAnsi="Arial" w:cs="Arial"/>
                <w:noProof/>
              </w:rPr>
              <w:t xml:space="preserve">   </w:t>
            </w:r>
            <w:r w:rsidRPr="00672B10">
              <w:rPr>
                <w:rFonts w:ascii="Arial" w:hAnsi="Arial" w:cs="Arial"/>
                <w:noProof/>
              </w:rPr>
              <w:drawing>
                <wp:inline distT="0" distB="0" distL="0" distR="0" wp14:anchorId="654691E6" wp14:editId="5F581E16">
                  <wp:extent cx="2924175" cy="990600"/>
                  <wp:effectExtent l="0" t="0" r="9525" b="0"/>
                  <wp:docPr id="2" name="Picture 2"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4961" w:type="dxa"/>
          </w:tcPr>
          <w:p w14:paraId="386FBF45" w14:textId="77777777" w:rsidR="006007FB" w:rsidRDefault="006007FB" w:rsidP="008501D4">
            <w:pPr>
              <w:spacing w:line="400" w:lineRule="exact"/>
              <w:ind w:left="418" w:firstLine="161"/>
              <w:rPr>
                <w:rFonts w:ascii="Arial" w:hAnsi="Arial" w:cs="Arial"/>
                <w:b/>
                <w:bCs/>
                <w:smallCaps/>
                <w:lang w:val="en-GB"/>
              </w:rPr>
            </w:pPr>
          </w:p>
          <w:p w14:paraId="320994CE" w14:textId="77777777" w:rsidR="006007FB" w:rsidRPr="00D93BB9" w:rsidRDefault="006007FB" w:rsidP="008501D4">
            <w:pPr>
              <w:spacing w:line="400" w:lineRule="exact"/>
              <w:ind w:left="418" w:firstLine="161"/>
              <w:rPr>
                <w:rFonts w:ascii="Arial" w:hAnsi="Arial" w:cs="Arial"/>
                <w:b/>
                <w:bCs/>
                <w:smallCaps/>
                <w:lang w:val="en-GB"/>
              </w:rPr>
            </w:pPr>
            <w:r w:rsidRPr="00D93BB9">
              <w:rPr>
                <w:rFonts w:ascii="Arial" w:hAnsi="Arial" w:cs="Arial"/>
                <w:b/>
                <w:bCs/>
                <w:smallCaps/>
                <w:lang w:val="en-GB"/>
              </w:rPr>
              <w:t>UHC2030 Steering Committee</w:t>
            </w:r>
          </w:p>
          <w:p w14:paraId="349E7B67" w14:textId="77777777" w:rsidR="006007FB" w:rsidRPr="00D93BB9" w:rsidRDefault="006007FB" w:rsidP="008501D4">
            <w:pPr>
              <w:spacing w:line="400" w:lineRule="exact"/>
              <w:ind w:left="418" w:firstLine="161"/>
              <w:rPr>
                <w:rFonts w:ascii="Arial" w:hAnsi="Arial" w:cs="Arial"/>
                <w:b/>
                <w:bCs/>
                <w:lang w:val="en-GB"/>
              </w:rPr>
            </w:pPr>
            <w:r>
              <w:rPr>
                <w:rFonts w:ascii="Arial" w:hAnsi="Arial" w:cs="Arial"/>
                <w:b/>
                <w:bCs/>
                <w:lang w:val="en-GB"/>
              </w:rPr>
              <w:t>8</w:t>
            </w:r>
            <w:r w:rsidRPr="00D93BB9">
              <w:rPr>
                <w:rFonts w:ascii="Arial" w:hAnsi="Arial" w:cs="Arial"/>
                <w:b/>
                <w:bCs/>
                <w:lang w:val="en-GB"/>
              </w:rPr>
              <w:t xml:space="preserve">th Session </w:t>
            </w:r>
            <w:r>
              <w:rPr>
                <w:rFonts w:ascii="Arial" w:hAnsi="Arial" w:cs="Arial"/>
                <w:b/>
                <w:bCs/>
                <w:lang w:val="en-GB"/>
              </w:rPr>
              <w:t xml:space="preserve">– 3 &amp; 4 February 2021 </w:t>
            </w:r>
          </w:p>
          <w:p w14:paraId="3EF0ECB8" w14:textId="77777777" w:rsidR="006007FB" w:rsidRPr="0053722D" w:rsidRDefault="006007FB" w:rsidP="008501D4">
            <w:pPr>
              <w:spacing w:line="400" w:lineRule="exact"/>
              <w:ind w:left="418" w:firstLine="161"/>
              <w:rPr>
                <w:rFonts w:ascii="Arial" w:hAnsi="Arial" w:cs="Arial"/>
                <w:b/>
                <w:bCs/>
                <w:sz w:val="22"/>
                <w:szCs w:val="22"/>
                <w:lang w:val="en-GB"/>
              </w:rPr>
            </w:pPr>
            <w:r>
              <w:rPr>
                <w:rFonts w:ascii="Arial" w:hAnsi="Arial" w:cs="Arial"/>
                <w:b/>
                <w:bCs/>
                <w:sz w:val="22"/>
                <w:szCs w:val="22"/>
                <w:lang w:val="en-GB"/>
              </w:rPr>
              <w:t>V</w:t>
            </w:r>
            <w:r w:rsidR="00BE6FE0">
              <w:rPr>
                <w:rFonts w:ascii="Arial" w:hAnsi="Arial" w:cs="Arial"/>
                <w:b/>
                <w:bCs/>
                <w:sz w:val="22"/>
                <w:szCs w:val="22"/>
                <w:lang w:val="en-GB"/>
              </w:rPr>
              <w:t>ideoconference (</w:t>
            </w:r>
            <w:r>
              <w:rPr>
                <w:rFonts w:ascii="Arial" w:hAnsi="Arial" w:cs="Arial"/>
                <w:b/>
                <w:bCs/>
                <w:sz w:val="22"/>
                <w:szCs w:val="22"/>
                <w:lang w:val="en-GB"/>
              </w:rPr>
              <w:t>Zoom</w:t>
            </w:r>
            <w:r w:rsidR="00BE6FE0">
              <w:rPr>
                <w:rFonts w:ascii="Arial" w:hAnsi="Arial" w:cs="Arial"/>
                <w:b/>
                <w:bCs/>
                <w:sz w:val="22"/>
                <w:szCs w:val="22"/>
                <w:lang w:val="en-GB"/>
              </w:rPr>
              <w:t>)</w:t>
            </w:r>
          </w:p>
          <w:p w14:paraId="3BB62191" w14:textId="77777777" w:rsidR="006007FB" w:rsidRDefault="006007FB" w:rsidP="008501D4">
            <w:pPr>
              <w:rPr>
                <w:rFonts w:asciiTheme="majorHAnsi" w:hAnsiTheme="majorHAnsi" w:cstheme="majorHAnsi"/>
                <w:b/>
                <w:u w:val="single"/>
              </w:rPr>
            </w:pPr>
          </w:p>
        </w:tc>
      </w:tr>
    </w:tbl>
    <w:p w14:paraId="0D5365AB" w14:textId="77777777" w:rsidR="000E710F" w:rsidRDefault="000E710F" w:rsidP="006007FB">
      <w:pPr>
        <w:rPr>
          <w:rFonts w:asciiTheme="majorHAnsi" w:hAnsiTheme="majorHAnsi" w:cstheme="majorHAnsi"/>
          <w:b/>
          <w:u w:val="single"/>
        </w:rPr>
      </w:pPr>
    </w:p>
    <w:p w14:paraId="536FFBC1" w14:textId="77777777" w:rsidR="000E710F" w:rsidRDefault="000E710F">
      <w:pPr>
        <w:rPr>
          <w:rFonts w:asciiTheme="majorHAnsi" w:hAnsiTheme="majorHAnsi" w:cstheme="majorHAnsi"/>
          <w:b/>
          <w:u w:val="single"/>
        </w:rPr>
      </w:pPr>
    </w:p>
    <w:p w14:paraId="0A1A0285" w14:textId="77777777" w:rsidR="000E710F" w:rsidRDefault="000E710F">
      <w:pPr>
        <w:rPr>
          <w:rFonts w:asciiTheme="majorHAnsi" w:hAnsiTheme="majorHAnsi" w:cstheme="majorHAnsi"/>
          <w:b/>
          <w:u w:val="single"/>
        </w:rPr>
      </w:pPr>
    </w:p>
    <w:p w14:paraId="22DF4EE8" w14:textId="77777777" w:rsidR="000E710F" w:rsidRDefault="000E710F">
      <w:pPr>
        <w:rPr>
          <w:rFonts w:asciiTheme="majorHAnsi" w:hAnsiTheme="majorHAnsi" w:cstheme="majorHAnsi"/>
          <w:b/>
          <w:u w:val="single"/>
        </w:rPr>
      </w:pPr>
    </w:p>
    <w:p w14:paraId="6BE2E2A9" w14:textId="77777777" w:rsidR="000E710F" w:rsidRDefault="000E710F">
      <w:pPr>
        <w:rPr>
          <w:rFonts w:asciiTheme="majorHAnsi" w:hAnsiTheme="majorHAnsi" w:cstheme="majorHAnsi"/>
          <w:b/>
          <w:u w:val="single"/>
        </w:rPr>
      </w:pPr>
    </w:p>
    <w:p w14:paraId="7A1E5910" w14:textId="77777777" w:rsidR="000E710F" w:rsidRDefault="000E710F">
      <w:pPr>
        <w:rPr>
          <w:rFonts w:asciiTheme="majorHAnsi" w:hAnsiTheme="majorHAnsi" w:cstheme="majorHAnsi"/>
          <w:b/>
          <w:u w:val="single"/>
        </w:rPr>
      </w:pPr>
    </w:p>
    <w:p w14:paraId="794BBBC3" w14:textId="37C0C0EB" w:rsidR="000E710F" w:rsidRDefault="00454546" w:rsidP="000E710F">
      <w:pPr>
        <w:jc w:val="center"/>
        <w:rPr>
          <w:rFonts w:ascii="Arial" w:eastAsiaTheme="minorHAnsi" w:hAnsi="Arial" w:cs="Arial"/>
          <w:b/>
          <w:bCs/>
          <w:color w:val="0070C0"/>
          <w:sz w:val="52"/>
          <w:szCs w:val="52"/>
        </w:rPr>
      </w:pPr>
      <w:r>
        <w:rPr>
          <w:rFonts w:ascii="Arial" w:eastAsiaTheme="minorHAnsi" w:hAnsi="Arial" w:cs="Arial"/>
          <w:b/>
          <w:bCs/>
          <w:color w:val="0070C0"/>
          <w:sz w:val="52"/>
          <w:szCs w:val="52"/>
        </w:rPr>
        <w:t>Draft Note for the Record</w:t>
      </w:r>
    </w:p>
    <w:p w14:paraId="33E7C2A5" w14:textId="77777777" w:rsidR="00E741F5" w:rsidRDefault="00E741F5" w:rsidP="000E710F">
      <w:pPr>
        <w:jc w:val="center"/>
        <w:rPr>
          <w:rFonts w:ascii="Arial" w:eastAsiaTheme="minorHAnsi" w:hAnsi="Arial" w:cs="Arial"/>
          <w:b/>
          <w:bCs/>
          <w:color w:val="0070C0"/>
          <w:sz w:val="52"/>
          <w:szCs w:val="52"/>
        </w:rPr>
      </w:pPr>
    </w:p>
    <w:p w14:paraId="20A82E56" w14:textId="77777777" w:rsidR="00A05340" w:rsidRDefault="00A05340" w:rsidP="000E710F">
      <w:pPr>
        <w:jc w:val="center"/>
        <w:rPr>
          <w:rFonts w:ascii="Arial" w:eastAsiaTheme="minorHAnsi" w:hAnsi="Arial" w:cs="Arial"/>
          <w:b/>
          <w:bCs/>
          <w:color w:val="0070C0"/>
          <w:sz w:val="52"/>
          <w:szCs w:val="52"/>
        </w:rPr>
      </w:pPr>
    </w:p>
    <w:p w14:paraId="63493784" w14:textId="77777777" w:rsidR="00A05340" w:rsidRDefault="00A05340" w:rsidP="000E710F">
      <w:pPr>
        <w:jc w:val="center"/>
        <w:rPr>
          <w:rFonts w:ascii="Arial" w:eastAsiaTheme="minorHAnsi" w:hAnsi="Arial" w:cs="Arial"/>
          <w:b/>
          <w:bCs/>
          <w:color w:val="0070C0"/>
          <w:sz w:val="52"/>
          <w:szCs w:val="52"/>
        </w:rPr>
      </w:pPr>
    </w:p>
    <w:p w14:paraId="5E66AB57" w14:textId="194066EC" w:rsidR="00A05340" w:rsidRDefault="00A05340" w:rsidP="000E710F">
      <w:pPr>
        <w:jc w:val="center"/>
        <w:rPr>
          <w:rFonts w:ascii="Arial" w:eastAsiaTheme="minorHAnsi" w:hAnsi="Arial" w:cs="Arial"/>
          <w:b/>
          <w:bCs/>
          <w:color w:val="0070C0"/>
          <w:sz w:val="52"/>
          <w:szCs w:val="52"/>
        </w:rPr>
      </w:pPr>
    </w:p>
    <w:p w14:paraId="56B939E2" w14:textId="1AEE7E40" w:rsidR="00A05340" w:rsidRDefault="00A05340" w:rsidP="000E710F">
      <w:pPr>
        <w:jc w:val="center"/>
        <w:rPr>
          <w:rFonts w:ascii="Arial" w:eastAsiaTheme="minorHAnsi" w:hAnsi="Arial" w:cs="Arial"/>
          <w:b/>
          <w:bCs/>
          <w:color w:val="0070C0"/>
          <w:sz w:val="52"/>
          <w:szCs w:val="52"/>
        </w:rPr>
      </w:pPr>
    </w:p>
    <w:p w14:paraId="4A6E2D59" w14:textId="7FCE8FD6" w:rsidR="00A05340" w:rsidRDefault="00A05340" w:rsidP="000E710F">
      <w:pPr>
        <w:jc w:val="center"/>
        <w:rPr>
          <w:rFonts w:ascii="Arial" w:eastAsiaTheme="minorHAnsi" w:hAnsi="Arial" w:cs="Arial"/>
          <w:b/>
          <w:bCs/>
          <w:color w:val="0070C0"/>
          <w:sz w:val="52"/>
          <w:szCs w:val="52"/>
        </w:rPr>
      </w:pPr>
    </w:p>
    <w:p w14:paraId="32710326" w14:textId="34928CC4" w:rsidR="00A05340" w:rsidRDefault="00A05340" w:rsidP="000E710F">
      <w:pPr>
        <w:jc w:val="center"/>
        <w:rPr>
          <w:rFonts w:ascii="Arial" w:eastAsiaTheme="minorHAnsi" w:hAnsi="Arial" w:cs="Arial"/>
          <w:b/>
          <w:bCs/>
          <w:color w:val="0070C0"/>
          <w:sz w:val="52"/>
          <w:szCs w:val="52"/>
        </w:rPr>
      </w:pPr>
    </w:p>
    <w:p w14:paraId="752F0B60" w14:textId="28D4495A" w:rsidR="00A05340" w:rsidRDefault="00A05340" w:rsidP="000E710F">
      <w:pPr>
        <w:jc w:val="center"/>
        <w:rPr>
          <w:rFonts w:ascii="Arial" w:eastAsiaTheme="minorHAnsi" w:hAnsi="Arial" w:cs="Arial"/>
          <w:b/>
          <w:bCs/>
          <w:color w:val="0070C0"/>
          <w:sz w:val="52"/>
          <w:szCs w:val="52"/>
        </w:rPr>
      </w:pPr>
    </w:p>
    <w:p w14:paraId="730ED5B0" w14:textId="1B28B288" w:rsidR="00A05340" w:rsidRDefault="00A05340" w:rsidP="000E710F">
      <w:pPr>
        <w:jc w:val="center"/>
        <w:rPr>
          <w:rFonts w:ascii="Arial" w:eastAsiaTheme="minorHAnsi" w:hAnsi="Arial" w:cs="Arial"/>
          <w:b/>
          <w:bCs/>
          <w:color w:val="0070C0"/>
          <w:sz w:val="52"/>
          <w:szCs w:val="52"/>
        </w:rPr>
      </w:pPr>
    </w:p>
    <w:p w14:paraId="73FC8766" w14:textId="77777777" w:rsidR="00A05340" w:rsidRDefault="00A05340" w:rsidP="00A05340">
      <w:pPr>
        <w:jc w:val="center"/>
        <w:rPr>
          <w:rFonts w:ascii="Arial" w:eastAsia="Cambria" w:hAnsi="Arial" w:cs="Arial"/>
          <w:b/>
          <w:szCs w:val="20"/>
        </w:rPr>
      </w:pPr>
    </w:p>
    <w:p w14:paraId="0DA51D77" w14:textId="2C52482C" w:rsidR="00A05340" w:rsidRDefault="00A05340" w:rsidP="00A05340">
      <w:pPr>
        <w:jc w:val="cente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0"/>
            </w:checkBox>
          </w:ffData>
        </w:fldChar>
      </w:r>
      <w:bookmarkStart w:id="1" w:name="Check4"/>
      <w:r>
        <w:rPr>
          <w:rFonts w:ascii="Arial" w:eastAsia="Cambria" w:hAnsi="Arial" w:cs="Arial"/>
          <w:b/>
          <w:szCs w:val="20"/>
        </w:rPr>
        <w:instrText xml:space="preserve"> FORMCHECKBOX </w:instrText>
      </w:r>
      <w:r>
        <w:rPr>
          <w:rFonts w:ascii="Arial" w:eastAsia="Cambria" w:hAnsi="Arial" w:cs="Arial"/>
          <w:b/>
          <w:szCs w:val="20"/>
        </w:rPr>
      </w:r>
      <w:r>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0"/>
            </w:checkBox>
          </w:ffData>
        </w:fldChar>
      </w:r>
      <w:bookmarkStart w:id="2" w:name="Check5"/>
      <w:r>
        <w:rPr>
          <w:rFonts w:ascii="Arial" w:eastAsia="Cambria" w:hAnsi="Arial" w:cs="Arial"/>
          <w:b/>
          <w:szCs w:val="20"/>
        </w:rPr>
        <w:instrText xml:space="preserve"> FORMCHECKBOX </w:instrText>
      </w:r>
      <w:r>
        <w:rPr>
          <w:rFonts w:ascii="Arial" w:eastAsia="Cambria" w:hAnsi="Arial" w:cs="Arial"/>
          <w:b/>
          <w:szCs w:val="20"/>
        </w:rPr>
      </w:r>
      <w:r>
        <w:rPr>
          <w:rFonts w:ascii="Arial" w:eastAsia="Cambria" w:hAnsi="Arial" w:cs="Arial"/>
          <w:b/>
          <w:szCs w:val="20"/>
        </w:rPr>
        <w:fldChar w:fldCharType="end"/>
      </w:r>
      <w:bookmarkEnd w:id="2"/>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1"/>
            </w:checkBox>
          </w:ffData>
        </w:fldChar>
      </w:r>
      <w:bookmarkStart w:id="3" w:name="Check3"/>
      <w:r>
        <w:rPr>
          <w:rFonts w:ascii="Arial" w:eastAsia="Cambria" w:hAnsi="Arial" w:cs="Arial"/>
          <w:szCs w:val="20"/>
        </w:rPr>
        <w:instrText xml:space="preserve"> FORMCHECKBOX </w:instrText>
      </w:r>
      <w:r>
        <w:rPr>
          <w:rFonts w:ascii="Arial" w:eastAsia="Cambria" w:hAnsi="Arial" w:cs="Arial"/>
          <w:szCs w:val="20"/>
        </w:rPr>
      </w:r>
      <w:r>
        <w:rPr>
          <w:rFonts w:ascii="Arial" w:eastAsia="Cambria" w:hAnsi="Arial" w:cs="Arial"/>
          <w:szCs w:val="20"/>
        </w:rPr>
        <w:fldChar w:fldCharType="end"/>
      </w:r>
      <w:bookmarkEnd w:id="3"/>
    </w:p>
    <w:p w14:paraId="62367A27" w14:textId="23C812C8" w:rsidR="00A05340" w:rsidRDefault="00A05340" w:rsidP="000E710F">
      <w:pPr>
        <w:jc w:val="center"/>
        <w:rPr>
          <w:rFonts w:ascii="Arial" w:eastAsiaTheme="minorHAnsi" w:hAnsi="Arial" w:cs="Arial"/>
          <w:b/>
          <w:bCs/>
          <w:color w:val="0070C0"/>
          <w:sz w:val="52"/>
          <w:szCs w:val="52"/>
        </w:rPr>
        <w:sectPr w:rsidR="00A05340" w:rsidSect="00E741F5">
          <w:headerReference w:type="default" r:id="rId11"/>
          <w:footerReference w:type="default" r:id="rId12"/>
          <w:headerReference w:type="first" r:id="rId13"/>
          <w:pgSz w:w="11906" w:h="16838"/>
          <w:pgMar w:top="851" w:right="991" w:bottom="709" w:left="1440" w:header="708" w:footer="708" w:gutter="0"/>
          <w:cols w:space="708"/>
          <w:titlePg/>
          <w:docGrid w:linePitch="360"/>
        </w:sectPr>
      </w:pPr>
    </w:p>
    <w:p w14:paraId="03162776" w14:textId="0652DD94" w:rsidR="006007FB" w:rsidRPr="004F3B4C" w:rsidRDefault="00454546" w:rsidP="006007FB">
      <w:pPr>
        <w:jc w:val="center"/>
        <w:rPr>
          <w:rFonts w:ascii="Arial" w:hAnsi="Arial" w:cs="Arial"/>
          <w:b/>
          <w:sz w:val="32"/>
          <w:szCs w:val="32"/>
          <w:lang w:val="en-GB"/>
        </w:rPr>
      </w:pPr>
      <w:bookmarkStart w:id="4" w:name="_Hlk62046678"/>
      <w:r>
        <w:rPr>
          <w:rFonts w:ascii="Arial" w:hAnsi="Arial" w:cs="Arial"/>
          <w:b/>
          <w:bCs/>
          <w:smallCaps/>
          <w:color w:val="3A93C6"/>
          <w:sz w:val="32"/>
          <w:szCs w:val="32"/>
          <w:lang w:val="en-GB"/>
        </w:rPr>
        <w:lastRenderedPageBreak/>
        <w:t>DRAFT NOTE FOR THE RECORD</w:t>
      </w:r>
    </w:p>
    <w:tbl>
      <w:tblPr>
        <w:tblStyle w:val="TableGrid"/>
        <w:tblW w:w="10872" w:type="dxa"/>
        <w:tblInd w:w="-851" w:type="dxa"/>
        <w:tblLook w:val="04A0" w:firstRow="1" w:lastRow="0" w:firstColumn="1" w:lastColumn="0" w:noHBand="0" w:noVBand="1"/>
      </w:tblPr>
      <w:tblGrid>
        <w:gridCol w:w="6237"/>
        <w:gridCol w:w="4608"/>
        <w:gridCol w:w="8"/>
        <w:gridCol w:w="19"/>
      </w:tblGrid>
      <w:tr w:rsidR="00E741F5" w:rsidRPr="00FA31F2" w14:paraId="65AE6088" w14:textId="77777777" w:rsidTr="005F612B">
        <w:tc>
          <w:tcPr>
            <w:tcW w:w="10872" w:type="dxa"/>
            <w:gridSpan w:val="4"/>
            <w:tcBorders>
              <w:top w:val="nil"/>
              <w:left w:val="nil"/>
              <w:bottom w:val="nil"/>
              <w:right w:val="nil"/>
            </w:tcBorders>
          </w:tcPr>
          <w:p w14:paraId="3A338627" w14:textId="326B2255" w:rsidR="00E741F5" w:rsidRPr="005126FE" w:rsidRDefault="00E741F5" w:rsidP="00981D4E">
            <w:pPr>
              <w:jc w:val="center"/>
              <w:rPr>
                <w:rFonts w:ascii="Arial" w:hAnsi="Arial" w:cs="Arial"/>
                <w:b/>
                <w:sz w:val="20"/>
                <w:szCs w:val="20"/>
              </w:rPr>
            </w:pPr>
            <w:r w:rsidRPr="002D5444">
              <w:rPr>
                <w:b/>
              </w:rPr>
              <w:t>UHC2030 Steering Committee virtual call – 7</w:t>
            </w:r>
            <w:r w:rsidRPr="002D5444">
              <w:rPr>
                <w:b/>
                <w:vertAlign w:val="superscript"/>
              </w:rPr>
              <w:t>th</w:t>
            </w:r>
            <w:r w:rsidRPr="002D5444">
              <w:rPr>
                <w:b/>
              </w:rPr>
              <w:t xml:space="preserve"> session, 29 June 1300-1500 CET</w:t>
            </w:r>
          </w:p>
        </w:tc>
      </w:tr>
      <w:tr w:rsidR="00E741F5" w:rsidRPr="00FA31F2" w14:paraId="180A4DAE" w14:textId="77777777" w:rsidTr="005F612B">
        <w:tc>
          <w:tcPr>
            <w:tcW w:w="10872" w:type="dxa"/>
            <w:gridSpan w:val="4"/>
            <w:tcBorders>
              <w:top w:val="nil"/>
              <w:left w:val="nil"/>
              <w:bottom w:val="single" w:sz="4" w:space="0" w:color="auto"/>
              <w:right w:val="nil"/>
            </w:tcBorders>
          </w:tcPr>
          <w:p w14:paraId="6DBA1D7E" w14:textId="77777777" w:rsidR="00E741F5" w:rsidRDefault="00E741F5" w:rsidP="00EE50B3">
            <w:pPr>
              <w:rPr>
                <w:b/>
              </w:rPr>
            </w:pPr>
          </w:p>
        </w:tc>
      </w:tr>
      <w:tr w:rsidR="00E741F5" w:rsidRPr="00FA31F2" w14:paraId="1E774986" w14:textId="77777777" w:rsidTr="005F612B">
        <w:tc>
          <w:tcPr>
            <w:tcW w:w="10872" w:type="dxa"/>
            <w:gridSpan w:val="4"/>
          </w:tcPr>
          <w:p w14:paraId="5E52DD0F" w14:textId="77777777" w:rsidR="00E741F5" w:rsidRDefault="00E741F5" w:rsidP="00EE50B3">
            <w:r>
              <w:rPr>
                <w:b/>
                <w:bCs/>
              </w:rPr>
              <w:t>Objectives of the meeting</w:t>
            </w:r>
            <w:r>
              <w:t>:</w:t>
            </w:r>
          </w:p>
          <w:p w14:paraId="2BF761EA" w14:textId="77777777" w:rsidR="00E741F5" w:rsidRDefault="00E741F5" w:rsidP="00E741F5">
            <w:pPr>
              <w:pStyle w:val="ListParagraph"/>
              <w:numPr>
                <w:ilvl w:val="0"/>
                <w:numId w:val="36"/>
              </w:numPr>
              <w:tabs>
                <w:tab w:val="left" w:pos="0"/>
              </w:tabs>
              <w:ind w:left="216" w:hanging="216"/>
            </w:pPr>
            <w:r>
              <w:t>Agree UHC2030 vision, plans and follow-up actions for “health systems that protect everyone”, including enhanced focus on common goods for health.</w:t>
            </w:r>
          </w:p>
          <w:p w14:paraId="4C742333" w14:textId="77777777" w:rsidR="00E741F5" w:rsidRPr="00AB1DE3" w:rsidRDefault="00E741F5" w:rsidP="00E741F5">
            <w:pPr>
              <w:pStyle w:val="ListParagraph"/>
              <w:numPr>
                <w:ilvl w:val="0"/>
                <w:numId w:val="36"/>
              </w:numPr>
              <w:tabs>
                <w:tab w:val="left" w:pos="0"/>
              </w:tabs>
              <w:spacing w:after="120"/>
              <w:ind w:left="216" w:hanging="216"/>
              <w:contextualSpacing w:val="0"/>
            </w:pPr>
            <w:r>
              <w:t>Agree resource mobilization plan for 2020-21</w:t>
            </w:r>
          </w:p>
        </w:tc>
      </w:tr>
      <w:tr w:rsidR="00E741F5" w:rsidRPr="00FA31F2" w14:paraId="4AF31E44" w14:textId="77777777" w:rsidTr="005F612B">
        <w:tc>
          <w:tcPr>
            <w:tcW w:w="10872" w:type="dxa"/>
            <w:gridSpan w:val="4"/>
            <w:shd w:val="clear" w:color="auto" w:fill="EEECE1" w:themeFill="background2"/>
          </w:tcPr>
          <w:p w14:paraId="614C6608" w14:textId="77777777" w:rsidR="00E741F5" w:rsidRPr="001F773E" w:rsidRDefault="00E741F5" w:rsidP="00EE50B3">
            <w:r>
              <w:rPr>
                <w:b/>
              </w:rPr>
              <w:t>Introductions</w:t>
            </w:r>
          </w:p>
        </w:tc>
      </w:tr>
      <w:tr w:rsidR="00E741F5" w:rsidRPr="00FA31F2" w14:paraId="463D4E3D" w14:textId="77777777" w:rsidTr="005F612B">
        <w:trPr>
          <w:gridAfter w:val="1"/>
          <w:wAfter w:w="19" w:type="dxa"/>
        </w:trPr>
        <w:tc>
          <w:tcPr>
            <w:tcW w:w="6237" w:type="dxa"/>
          </w:tcPr>
          <w:p w14:paraId="6BDCFCFA" w14:textId="77777777" w:rsidR="00E741F5" w:rsidRPr="00D01283" w:rsidRDefault="00E741F5" w:rsidP="00EE50B3">
            <w:pPr>
              <w:tabs>
                <w:tab w:val="left" w:pos="0"/>
              </w:tabs>
              <w:spacing w:after="120"/>
              <w:rPr>
                <w:b/>
                <w:i/>
              </w:rPr>
            </w:pPr>
            <w:r>
              <w:rPr>
                <w:b/>
                <w:i/>
              </w:rPr>
              <w:t>Co-chairs’ introductions</w:t>
            </w:r>
          </w:p>
          <w:p w14:paraId="17E200B4" w14:textId="77777777" w:rsidR="00E741F5" w:rsidRPr="00423025" w:rsidRDefault="00E741F5" w:rsidP="00EE50B3">
            <w:pPr>
              <w:tabs>
                <w:tab w:val="left" w:pos="0"/>
              </w:tabs>
              <w:spacing w:after="120"/>
            </w:pPr>
            <w:r w:rsidRPr="00D01283">
              <w:rPr>
                <w:b/>
              </w:rPr>
              <w:t>The co-chairs reported positively how UHC2030 has delivered on a strong UHC narrative and political</w:t>
            </w:r>
            <w:r>
              <w:rPr>
                <w:b/>
              </w:rPr>
              <w:t>/advocacy</w:t>
            </w:r>
            <w:r w:rsidRPr="00D01283">
              <w:rPr>
                <w:b/>
              </w:rPr>
              <w:t xml:space="preserve"> energy in context </w:t>
            </w:r>
            <w:r w:rsidRPr="0077552D">
              <w:rPr>
                <w:b/>
              </w:rPr>
              <w:t>of the COVID-19 crisis</w:t>
            </w:r>
            <w:r w:rsidRPr="0077552D">
              <w:t>. Work over the past few months – as presented in background document - confirms UHC2030’s</w:t>
            </w:r>
            <w:r>
              <w:t xml:space="preserve"> unique value</w:t>
            </w:r>
            <w:r w:rsidRPr="00324FE7">
              <w:t xml:space="preserve"> as a multi-stakeholder platform and </w:t>
            </w:r>
            <w:r>
              <w:t xml:space="preserve">its </w:t>
            </w:r>
            <w:r w:rsidRPr="00324FE7">
              <w:t>contribution to sustain</w:t>
            </w:r>
            <w:r>
              <w:t>ing</w:t>
            </w:r>
            <w:r w:rsidRPr="00324FE7">
              <w:t xml:space="preserve"> momentum around UHC commitments</w:t>
            </w:r>
            <w:r>
              <w:t>. K</w:t>
            </w:r>
            <w:r w:rsidRPr="00423025">
              <w:t xml:space="preserve">ey achievements since </w:t>
            </w:r>
            <w:r>
              <w:t>previous meetings in December and catch-up call in March</w:t>
            </w:r>
            <w:r w:rsidRPr="00423025">
              <w:t>:</w:t>
            </w:r>
          </w:p>
          <w:p w14:paraId="5441B2DC" w14:textId="77777777" w:rsidR="00E741F5" w:rsidRDefault="00E741F5" w:rsidP="00E741F5">
            <w:pPr>
              <w:pStyle w:val="ListParagraph"/>
              <w:numPr>
                <w:ilvl w:val="0"/>
                <w:numId w:val="37"/>
              </w:numPr>
              <w:spacing w:after="200" w:line="276" w:lineRule="auto"/>
              <w:ind w:left="360"/>
            </w:pPr>
            <w:r>
              <w:rPr>
                <w:b/>
              </w:rPr>
              <w:t xml:space="preserve">Sustained political momentum: </w:t>
            </w:r>
            <w:r>
              <w:t>mobilized the political advisory group, on track for flagship ‘state of UHC commitment’ report, promoted co-chairs statement on UHC and COVID-19.</w:t>
            </w:r>
          </w:p>
          <w:p w14:paraId="777787F9" w14:textId="77777777" w:rsidR="00E741F5" w:rsidRDefault="00E741F5" w:rsidP="00E741F5">
            <w:pPr>
              <w:pStyle w:val="ListParagraph"/>
              <w:numPr>
                <w:ilvl w:val="0"/>
                <w:numId w:val="37"/>
              </w:numPr>
              <w:spacing w:after="200" w:line="276" w:lineRule="auto"/>
              <w:ind w:left="360"/>
            </w:pPr>
            <w:r>
              <w:rPr>
                <w:b/>
              </w:rPr>
              <w:t>Promoted shared UHC goals</w:t>
            </w:r>
            <w:r>
              <w:t xml:space="preserve"> in the co-chairs statement and UHC/emergencies discussion paper</w:t>
            </w:r>
          </w:p>
          <w:p w14:paraId="3FA8446F" w14:textId="77777777" w:rsidR="00E741F5" w:rsidRDefault="00E741F5" w:rsidP="00E741F5">
            <w:pPr>
              <w:pStyle w:val="ListParagraph"/>
              <w:numPr>
                <w:ilvl w:val="0"/>
                <w:numId w:val="37"/>
              </w:numPr>
              <w:spacing w:after="200" w:line="276" w:lineRule="auto"/>
              <w:ind w:left="360"/>
            </w:pPr>
            <w:r>
              <w:rPr>
                <w:b/>
              </w:rPr>
              <w:t xml:space="preserve">Getting communities engaged: </w:t>
            </w:r>
            <w:r>
              <w:t>diverse feedback from over 100 stakeholders on the social participation handbook consultation; CSEM launch of calls to action on UHC and COVID-19</w:t>
            </w:r>
          </w:p>
          <w:p w14:paraId="35561C3C" w14:textId="77777777" w:rsidR="00E741F5" w:rsidRPr="00D01283" w:rsidRDefault="00E741F5" w:rsidP="00E741F5">
            <w:pPr>
              <w:pStyle w:val="ListParagraph"/>
              <w:numPr>
                <w:ilvl w:val="0"/>
                <w:numId w:val="37"/>
              </w:numPr>
              <w:ind w:left="360"/>
            </w:pPr>
            <w:r w:rsidRPr="00D01283">
              <w:rPr>
                <w:b/>
              </w:rPr>
              <w:t>Platform and thought leadership</w:t>
            </w:r>
            <w:r>
              <w:rPr>
                <w:b/>
              </w:rPr>
              <w:t>:</w:t>
            </w:r>
            <w:r w:rsidRPr="00D01283">
              <w:t xml:space="preserve"> great reactions to the discussion paper, over 400 people attended launch event, lively follow-up blogs and discussions with related initiatives + disease partnerships, feedback that </w:t>
            </w:r>
            <w:r>
              <w:t>UHC2030 is</w:t>
            </w:r>
            <w:r w:rsidRPr="00D01283">
              <w:t xml:space="preserve"> playing a key role in shaping the agenda</w:t>
            </w:r>
            <w:r>
              <w:t>.</w:t>
            </w:r>
          </w:p>
          <w:p w14:paraId="4385EF55" w14:textId="77777777" w:rsidR="00E741F5" w:rsidRPr="0077552D" w:rsidRDefault="00E741F5" w:rsidP="00EE50B3">
            <w:pPr>
              <w:rPr>
                <w:b/>
                <w:bCs/>
              </w:rPr>
            </w:pPr>
            <w:r w:rsidRPr="0077552D">
              <w:rPr>
                <w:b/>
                <w:bCs/>
                <w:i/>
              </w:rPr>
              <w:t>Brief updates</w:t>
            </w:r>
            <w:r w:rsidRPr="0077552D">
              <w:rPr>
                <w:b/>
                <w:bCs/>
              </w:rPr>
              <w:t xml:space="preserve"> </w:t>
            </w:r>
          </w:p>
          <w:p w14:paraId="043B58F0" w14:textId="77777777" w:rsidR="00E741F5" w:rsidRPr="0077552D" w:rsidRDefault="00E741F5" w:rsidP="00E741F5">
            <w:pPr>
              <w:pStyle w:val="ListParagraph"/>
              <w:numPr>
                <w:ilvl w:val="0"/>
                <w:numId w:val="39"/>
              </w:numPr>
              <w:spacing w:after="120"/>
              <w:ind w:left="360"/>
            </w:pPr>
            <w:r w:rsidRPr="0077552D">
              <w:t xml:space="preserve">Agnes Soucat gave a brief overview of the Access to COVID-19 Tools Accelerator (ACT-A), and potential opportunities for UHC2030 to contribute – especially to the Health Systems Connector workstreams. </w:t>
            </w:r>
          </w:p>
          <w:p w14:paraId="73CFA67B" w14:textId="77777777" w:rsidR="00E741F5" w:rsidRPr="00FD3D4A" w:rsidRDefault="00E741F5" w:rsidP="00E741F5">
            <w:pPr>
              <w:pStyle w:val="ListParagraph"/>
              <w:numPr>
                <w:ilvl w:val="0"/>
                <w:numId w:val="39"/>
              </w:numPr>
              <w:spacing w:after="120"/>
              <w:ind w:left="360"/>
            </w:pPr>
            <w:r w:rsidRPr="0077552D">
              <w:t>OECD has confirmed interest</w:t>
            </w:r>
            <w:r>
              <w:t xml:space="preserve"> to join UHC2030’s secretariat; </w:t>
            </w:r>
            <w:r w:rsidRPr="00FD3D4A">
              <w:t>rationale</w:t>
            </w:r>
            <w:r>
              <w:t xml:space="preserve"> is</w:t>
            </w:r>
            <w:r w:rsidRPr="00FD3D4A">
              <w:t xml:space="preserve"> more important than ever with COVID-19 </w:t>
            </w:r>
            <w:r>
              <w:t xml:space="preserve">affecting all countries, and </w:t>
            </w:r>
            <w:r w:rsidRPr="001B1BBE">
              <w:t>OECD already involved in critical work (e.g. drafting of discussion paper on health emergencies and UHC)</w:t>
            </w:r>
            <w:r>
              <w:t>.</w:t>
            </w:r>
          </w:p>
          <w:p w14:paraId="0032BED7" w14:textId="77777777" w:rsidR="00E741F5" w:rsidRPr="00FD3D4A" w:rsidRDefault="00E741F5" w:rsidP="00E741F5">
            <w:pPr>
              <w:pStyle w:val="ListParagraph"/>
              <w:numPr>
                <w:ilvl w:val="0"/>
                <w:numId w:val="39"/>
              </w:numPr>
              <w:spacing w:after="120"/>
              <w:ind w:left="360"/>
            </w:pPr>
            <w:r w:rsidRPr="00FD3D4A">
              <w:t>Arrangements</w:t>
            </w:r>
            <w:r>
              <w:t xml:space="preserve"> will be put in place</w:t>
            </w:r>
            <w:r w:rsidRPr="00FD3D4A">
              <w:t xml:space="preserve"> </w:t>
            </w:r>
            <w:r>
              <w:t>to n</w:t>
            </w:r>
            <w:r w:rsidRPr="00FD3D4A">
              <w:t>ominate new co-chairs by the end of the year</w:t>
            </w:r>
            <w:r>
              <w:t>.</w:t>
            </w:r>
            <w:r w:rsidRPr="00FD3D4A">
              <w:t xml:space="preserve"> </w:t>
            </w:r>
          </w:p>
          <w:p w14:paraId="35CFDEDA" w14:textId="77777777" w:rsidR="00E741F5" w:rsidRDefault="00E741F5" w:rsidP="00E741F5">
            <w:pPr>
              <w:pStyle w:val="ListParagraph"/>
              <w:numPr>
                <w:ilvl w:val="0"/>
                <w:numId w:val="39"/>
              </w:numPr>
              <w:spacing w:after="120"/>
              <w:ind w:left="360"/>
            </w:pPr>
            <w:r w:rsidRPr="00FD3D4A">
              <w:t>Political advisory panel</w:t>
            </w:r>
            <w:r>
              <w:t xml:space="preserve">: </w:t>
            </w:r>
            <w:r w:rsidRPr="00FD3D4A">
              <w:t>updated TORs and proposed political agenda shared for information (in response to SC discussion in December</w:t>
            </w:r>
            <w:r>
              <w:t>). T</w:t>
            </w:r>
            <w:r w:rsidRPr="00FD3D4A">
              <w:t xml:space="preserve">he group </w:t>
            </w:r>
            <w:r>
              <w:t xml:space="preserve">is </w:t>
            </w:r>
            <w:r w:rsidRPr="00FD3D4A">
              <w:t xml:space="preserve">already helping us </w:t>
            </w:r>
            <w:r w:rsidRPr="00FD3D4A">
              <w:lastRenderedPageBreak/>
              <w:t xml:space="preserve">to </w:t>
            </w:r>
            <w:r>
              <w:t>refine/</w:t>
            </w:r>
            <w:r w:rsidRPr="00FD3D4A">
              <w:t xml:space="preserve">disseminate key messages </w:t>
            </w:r>
            <w:r>
              <w:t>on UHC and emergencies</w:t>
            </w:r>
            <w:r w:rsidRPr="00FD3D4A">
              <w:t xml:space="preserve"> and reach</w:t>
            </w:r>
            <w:r>
              <w:t xml:space="preserve"> </w:t>
            </w:r>
            <w:r w:rsidRPr="00FD3D4A">
              <w:t>out to critical groups such as parliamentarians and local governments.</w:t>
            </w:r>
          </w:p>
          <w:p w14:paraId="02A51323" w14:textId="77777777" w:rsidR="00E741F5" w:rsidRPr="00D01283" w:rsidRDefault="00E741F5" w:rsidP="00EE50B3">
            <w:pPr>
              <w:rPr>
                <w:i/>
              </w:rPr>
            </w:pPr>
            <w:r w:rsidRPr="00D01283">
              <w:rPr>
                <w:b/>
                <w:bCs/>
                <w:i/>
              </w:rPr>
              <w:t>Steering committee membership/attendance</w:t>
            </w:r>
            <w:r w:rsidRPr="00D01283">
              <w:rPr>
                <w:i/>
              </w:rPr>
              <w:t>:</w:t>
            </w:r>
          </w:p>
          <w:p w14:paraId="11DBE196" w14:textId="77777777" w:rsidR="00E741F5" w:rsidRPr="00FD3D4A" w:rsidRDefault="00E741F5" w:rsidP="00E741F5">
            <w:pPr>
              <w:pStyle w:val="ListParagraph"/>
              <w:numPr>
                <w:ilvl w:val="0"/>
                <w:numId w:val="38"/>
              </w:numPr>
              <w:ind w:left="360"/>
            </w:pPr>
            <w:r w:rsidRPr="00FD3D4A">
              <w:t>3 new CSEM representatives: Oanh Khuat Thi Hai and Justin Koonin</w:t>
            </w:r>
            <w:r>
              <w:t xml:space="preserve"> (previously alternates), </w:t>
            </w:r>
            <w:r w:rsidRPr="00FD3D4A">
              <w:t xml:space="preserve">Javier Hourcade </w:t>
            </w:r>
            <w:proofErr w:type="spellStart"/>
            <w:r w:rsidRPr="00FD3D4A">
              <w:t>Belloq</w:t>
            </w:r>
            <w:proofErr w:type="spellEnd"/>
          </w:p>
          <w:p w14:paraId="3B69EFFE" w14:textId="77777777" w:rsidR="00E741F5" w:rsidRPr="00D01283" w:rsidRDefault="00E741F5" w:rsidP="00E741F5">
            <w:pPr>
              <w:pStyle w:val="ListParagraph"/>
              <w:numPr>
                <w:ilvl w:val="0"/>
                <w:numId w:val="38"/>
              </w:numPr>
              <w:spacing w:after="120"/>
              <w:ind w:left="360"/>
            </w:pPr>
            <w:r>
              <w:t xml:space="preserve">Goodbye and thank you: Mathias Reinicke/EC, Walaiporn/Thailand, </w:t>
            </w:r>
            <w:proofErr w:type="spellStart"/>
            <w:r>
              <w:t>Dessi</w:t>
            </w:r>
            <w:proofErr w:type="spellEnd"/>
            <w:r>
              <w:t xml:space="preserve"> Dimitrova and Sofiat Akinola/</w:t>
            </w:r>
            <w:r w:rsidRPr="00D01283">
              <w:t>WEF</w:t>
            </w:r>
            <w:r>
              <w:t xml:space="preserve"> (WEF’s term as Private Sector Constituency host has concluded; World Bank are acting as interim host)</w:t>
            </w:r>
          </w:p>
          <w:p w14:paraId="6A28AC1A" w14:textId="77777777" w:rsidR="00E741F5" w:rsidRPr="00D01283" w:rsidRDefault="00E741F5" w:rsidP="00E741F5">
            <w:pPr>
              <w:pStyle w:val="ListParagraph"/>
              <w:numPr>
                <w:ilvl w:val="0"/>
                <w:numId w:val="38"/>
              </w:numPr>
              <w:spacing w:after="120"/>
              <w:ind w:left="360"/>
            </w:pPr>
            <w:r w:rsidRPr="00D01283">
              <w:t>Observers</w:t>
            </w:r>
            <w:r w:rsidRPr="00D01283">
              <w:rPr>
                <w:b/>
              </w:rPr>
              <w:t>:</w:t>
            </w:r>
            <w:r w:rsidRPr="00D01283">
              <w:t xml:space="preserve"> Representatives from Indonesia, France and Switzerland.</w:t>
            </w:r>
          </w:p>
        </w:tc>
        <w:tc>
          <w:tcPr>
            <w:tcW w:w="4616" w:type="dxa"/>
            <w:gridSpan w:val="2"/>
          </w:tcPr>
          <w:p w14:paraId="355F5091" w14:textId="77777777" w:rsidR="00E741F5" w:rsidRPr="00D01283" w:rsidRDefault="00E741F5" w:rsidP="00EE50B3">
            <w:pPr>
              <w:rPr>
                <w:b/>
                <w:i/>
                <w:lang w:val="en-GB"/>
              </w:rPr>
            </w:pPr>
            <w:r w:rsidRPr="00D01283">
              <w:rPr>
                <w:b/>
                <w:i/>
                <w:lang w:val="en-GB"/>
              </w:rPr>
              <w:lastRenderedPageBreak/>
              <w:t>Follow up actions</w:t>
            </w:r>
          </w:p>
          <w:p w14:paraId="24A28C77" w14:textId="77777777" w:rsidR="00E741F5" w:rsidRPr="0077552D" w:rsidRDefault="00E741F5" w:rsidP="00E741F5">
            <w:pPr>
              <w:pStyle w:val="ListParagraph"/>
              <w:numPr>
                <w:ilvl w:val="0"/>
                <w:numId w:val="40"/>
              </w:numPr>
              <w:ind w:left="360"/>
            </w:pPr>
            <w:proofErr w:type="spellStart"/>
            <w:r w:rsidRPr="0077552D">
              <w:t>Organise</w:t>
            </w:r>
            <w:proofErr w:type="spellEnd"/>
            <w:r w:rsidRPr="0077552D">
              <w:t xml:space="preserve"> an ACT-A briefing session on the health systems accelerator as needed</w:t>
            </w:r>
          </w:p>
          <w:p w14:paraId="0AF37724" w14:textId="77777777" w:rsidR="00E741F5" w:rsidRPr="0077552D" w:rsidRDefault="00E741F5" w:rsidP="00E741F5">
            <w:pPr>
              <w:pStyle w:val="ListParagraph"/>
              <w:numPr>
                <w:ilvl w:val="0"/>
                <w:numId w:val="40"/>
              </w:numPr>
              <w:ind w:left="360"/>
            </w:pPr>
            <w:r w:rsidRPr="0077552D">
              <w:t>Formalize arrangements with OECD in the fall and report back to SC</w:t>
            </w:r>
          </w:p>
          <w:p w14:paraId="392E659D" w14:textId="77777777" w:rsidR="00E741F5" w:rsidRPr="0077552D" w:rsidRDefault="00E741F5" w:rsidP="00E741F5">
            <w:pPr>
              <w:pStyle w:val="ListParagraph"/>
              <w:numPr>
                <w:ilvl w:val="0"/>
                <w:numId w:val="40"/>
              </w:numPr>
              <w:ind w:left="360"/>
            </w:pPr>
            <w:r w:rsidRPr="0077552D">
              <w:t xml:space="preserve">Core Team to prepare a plan describing the political process towards 2023 with milestones </w:t>
            </w:r>
          </w:p>
          <w:p w14:paraId="43FD0117" w14:textId="77777777" w:rsidR="00E741F5" w:rsidRPr="0077552D" w:rsidRDefault="00E741F5" w:rsidP="00E741F5">
            <w:pPr>
              <w:pStyle w:val="ListParagraph"/>
              <w:numPr>
                <w:ilvl w:val="0"/>
                <w:numId w:val="40"/>
              </w:numPr>
              <w:ind w:left="360"/>
            </w:pPr>
            <w:r w:rsidRPr="0077552D">
              <w:t>Written update to SC by mid-September on Co-Chairs transition arrangements.</w:t>
            </w:r>
          </w:p>
          <w:p w14:paraId="5C1FAD04" w14:textId="77777777" w:rsidR="00E741F5" w:rsidRPr="00AD739A" w:rsidRDefault="00E741F5" w:rsidP="00E741F5">
            <w:pPr>
              <w:pStyle w:val="ListParagraph"/>
              <w:numPr>
                <w:ilvl w:val="0"/>
                <w:numId w:val="40"/>
              </w:numPr>
              <w:ind w:left="360"/>
            </w:pPr>
            <w:r w:rsidRPr="0077552D">
              <w:t>Request from Germany to organize a specific session on accountability</w:t>
            </w:r>
          </w:p>
        </w:tc>
      </w:tr>
      <w:tr w:rsidR="00E741F5" w:rsidRPr="00FA31F2" w14:paraId="548B7656" w14:textId="77777777" w:rsidTr="005F612B">
        <w:tc>
          <w:tcPr>
            <w:tcW w:w="10872" w:type="dxa"/>
            <w:gridSpan w:val="4"/>
            <w:shd w:val="clear" w:color="auto" w:fill="EEECE1" w:themeFill="background2"/>
          </w:tcPr>
          <w:p w14:paraId="38EF678E" w14:textId="77777777" w:rsidR="00E741F5" w:rsidRPr="00376BE0" w:rsidRDefault="00E741F5" w:rsidP="00E741F5">
            <w:pPr>
              <w:pStyle w:val="ListParagraph"/>
              <w:numPr>
                <w:ilvl w:val="1"/>
                <w:numId w:val="30"/>
              </w:numPr>
              <w:rPr>
                <w:b/>
              </w:rPr>
            </w:pPr>
            <w:r w:rsidRPr="00376BE0">
              <w:rPr>
                <w:b/>
              </w:rPr>
              <w:t>What does COVID-19 mean for our UHC vision?</w:t>
            </w:r>
          </w:p>
          <w:p w14:paraId="536493EB" w14:textId="77777777" w:rsidR="00E741F5" w:rsidRDefault="00E741F5" w:rsidP="00EE50B3">
            <w:pPr>
              <w:rPr>
                <w:b/>
                <w:lang w:val="en-GB"/>
              </w:rPr>
            </w:pPr>
            <w:r w:rsidRPr="00376BE0">
              <w:rPr>
                <w:b/>
              </w:rPr>
              <w:t xml:space="preserve">Objective:  </w:t>
            </w:r>
            <w:r w:rsidRPr="00376BE0">
              <w:t>Agree focus and narrative for stronger health systems, based on PHC and common goods for health, to better protect everyone</w:t>
            </w:r>
          </w:p>
        </w:tc>
      </w:tr>
      <w:tr w:rsidR="00E741F5" w:rsidRPr="00FA31F2" w14:paraId="7F1E0F86" w14:textId="77777777" w:rsidTr="005F612B">
        <w:trPr>
          <w:gridAfter w:val="2"/>
          <w:wAfter w:w="27" w:type="dxa"/>
          <w:trHeight w:val="85"/>
        </w:trPr>
        <w:tc>
          <w:tcPr>
            <w:tcW w:w="6237" w:type="dxa"/>
          </w:tcPr>
          <w:p w14:paraId="0547A487" w14:textId="77777777" w:rsidR="00E741F5" w:rsidRPr="00D01283" w:rsidRDefault="00E741F5" w:rsidP="00EE50B3">
            <w:pPr>
              <w:rPr>
                <w:i/>
              </w:rPr>
            </w:pPr>
            <w:r w:rsidRPr="00D01283">
              <w:rPr>
                <w:b/>
                <w:i/>
              </w:rPr>
              <w:t>Discussion points</w:t>
            </w:r>
            <w:r w:rsidRPr="00D01283">
              <w:rPr>
                <w:i/>
              </w:rPr>
              <w:t xml:space="preserve"> </w:t>
            </w:r>
          </w:p>
          <w:p w14:paraId="287F7602" w14:textId="77777777" w:rsidR="00E741F5" w:rsidRPr="00133278" w:rsidRDefault="00E741F5" w:rsidP="00E741F5">
            <w:pPr>
              <w:pStyle w:val="ListParagraph"/>
              <w:numPr>
                <w:ilvl w:val="0"/>
                <w:numId w:val="29"/>
              </w:numPr>
              <w:rPr>
                <w:lang w:val="en-GB"/>
              </w:rPr>
            </w:pPr>
            <w:r w:rsidRPr="00D01283">
              <w:rPr>
                <w:b/>
                <w:lang w:val="en-GB"/>
              </w:rPr>
              <w:t xml:space="preserve">UHC2030 </w:t>
            </w:r>
            <w:r>
              <w:rPr>
                <w:b/>
                <w:lang w:val="en-GB"/>
              </w:rPr>
              <w:t xml:space="preserve">is </w:t>
            </w:r>
            <w:r w:rsidRPr="00D01283">
              <w:rPr>
                <w:b/>
                <w:lang w:val="en-GB"/>
              </w:rPr>
              <w:t>well-positioned to push this agenda and show leadership</w:t>
            </w:r>
            <w:r>
              <w:rPr>
                <w:lang w:val="en-GB"/>
              </w:rPr>
              <w:t>, focusing on UHC2030’s comparative advantage (relative to other health &amp; health security actors) on UHC + wider health systems issues plus political advocacy.</w:t>
            </w:r>
          </w:p>
          <w:p w14:paraId="3CDEEF96" w14:textId="77777777" w:rsidR="00E741F5" w:rsidRDefault="00E741F5" w:rsidP="00E741F5">
            <w:pPr>
              <w:pStyle w:val="ListParagraph"/>
              <w:numPr>
                <w:ilvl w:val="0"/>
                <w:numId w:val="29"/>
              </w:numPr>
            </w:pPr>
            <w:r w:rsidRPr="00D01283">
              <w:rPr>
                <w:b/>
                <w:lang w:val="en-GB"/>
              </w:rPr>
              <w:t>Important that UHC2030 membership comes behind shared goals and narrative</w:t>
            </w:r>
            <w:r w:rsidRPr="002E62B7">
              <w:rPr>
                <w:lang w:val="en-GB"/>
              </w:rPr>
              <w:t xml:space="preserve">, </w:t>
            </w:r>
            <w:r>
              <w:rPr>
                <w:lang w:val="en-GB"/>
              </w:rPr>
              <w:t>agree</w:t>
            </w:r>
            <w:r w:rsidRPr="002E62B7">
              <w:rPr>
                <w:lang w:val="en-GB"/>
              </w:rPr>
              <w:t xml:space="preserve"> hard-hitting advocacy messages (e.g. amplify cost of inaction message) and specificity (common goods and public health actions we are promoting). </w:t>
            </w:r>
            <w:r>
              <w:rPr>
                <w:lang w:val="en-GB"/>
              </w:rPr>
              <w:t xml:space="preserve">Consider the </w:t>
            </w:r>
            <w:r w:rsidRPr="002E62B7">
              <w:rPr>
                <w:lang w:val="en-GB"/>
              </w:rPr>
              <w:t xml:space="preserve">action agenda </w:t>
            </w:r>
            <w:r>
              <w:rPr>
                <w:lang w:val="en-GB"/>
              </w:rPr>
              <w:t xml:space="preserve">in the paper as </w:t>
            </w:r>
            <w:r w:rsidRPr="002E62B7">
              <w:rPr>
                <w:lang w:val="en-GB"/>
              </w:rPr>
              <w:t>‘principles for action’</w:t>
            </w:r>
            <w:r>
              <w:rPr>
                <w:lang w:val="en-GB"/>
              </w:rPr>
              <w:t xml:space="preserve"> and promote </w:t>
            </w:r>
            <w:r w:rsidRPr="002E62B7">
              <w:rPr>
                <w:lang w:val="en-GB"/>
              </w:rPr>
              <w:t>more specific actions (i.e. ‘how to’).</w:t>
            </w:r>
            <w:r>
              <w:t xml:space="preserve"> </w:t>
            </w:r>
          </w:p>
          <w:p w14:paraId="4F9A248F" w14:textId="77777777" w:rsidR="00E741F5" w:rsidRPr="00427CCC" w:rsidRDefault="00E741F5" w:rsidP="00E741F5">
            <w:pPr>
              <w:pStyle w:val="ListParagraph"/>
              <w:numPr>
                <w:ilvl w:val="0"/>
                <w:numId w:val="29"/>
              </w:numPr>
              <w:rPr>
                <w:lang w:val="en-GB"/>
              </w:rPr>
            </w:pPr>
            <w:r w:rsidRPr="00D01283">
              <w:rPr>
                <w:b/>
              </w:rPr>
              <w:t>Country focus is vital</w:t>
            </w:r>
            <w:r>
              <w:t xml:space="preserve">: </w:t>
            </w:r>
            <w:r w:rsidRPr="00B86F33">
              <w:rPr>
                <w:lang w:val="en-GB"/>
              </w:rPr>
              <w:t>get key messages where needed</w:t>
            </w:r>
            <w:r>
              <w:rPr>
                <w:lang w:val="en-GB"/>
              </w:rPr>
              <w:t xml:space="preserve"> based on</w:t>
            </w:r>
            <w:r w:rsidRPr="00B86F33">
              <w:rPr>
                <w:lang w:val="en-GB"/>
              </w:rPr>
              <w:t xml:space="preserve"> country-specific needs and </w:t>
            </w:r>
            <w:r>
              <w:t xml:space="preserve">different levels where action is required. Example from Ghana: </w:t>
            </w:r>
            <w:r>
              <w:rPr>
                <w:lang w:val="en-GB"/>
              </w:rPr>
              <w:t>f</w:t>
            </w:r>
            <w:r w:rsidRPr="00427CCC">
              <w:rPr>
                <w:lang w:val="en-GB"/>
              </w:rPr>
              <w:t xml:space="preserve">ocus </w:t>
            </w:r>
            <w:r>
              <w:rPr>
                <w:lang w:val="en-GB"/>
              </w:rPr>
              <w:t xml:space="preserve">in UHC roadmap </w:t>
            </w:r>
            <w:r w:rsidRPr="00427CCC">
              <w:rPr>
                <w:lang w:val="en-GB"/>
              </w:rPr>
              <w:t xml:space="preserve">on </w:t>
            </w:r>
            <w:r w:rsidRPr="00D01283">
              <w:rPr>
                <w:i/>
                <w:lang w:val="en-GB"/>
              </w:rPr>
              <w:t>timeliness</w:t>
            </w:r>
            <w:r w:rsidRPr="00427CCC">
              <w:rPr>
                <w:lang w:val="en-GB"/>
              </w:rPr>
              <w:t xml:space="preserve"> </w:t>
            </w:r>
            <w:r>
              <w:rPr>
                <w:lang w:val="en-GB"/>
              </w:rPr>
              <w:t xml:space="preserve">of </w:t>
            </w:r>
            <w:r w:rsidRPr="00427CCC">
              <w:rPr>
                <w:lang w:val="en-GB"/>
              </w:rPr>
              <w:t>access to</w:t>
            </w:r>
            <w:r>
              <w:rPr>
                <w:lang w:val="en-GB"/>
              </w:rPr>
              <w:t xml:space="preserve"> </w:t>
            </w:r>
            <w:r w:rsidRPr="00427CCC">
              <w:rPr>
                <w:lang w:val="en-GB"/>
              </w:rPr>
              <w:t xml:space="preserve">quality services </w:t>
            </w:r>
            <w:r>
              <w:rPr>
                <w:lang w:val="en-GB"/>
              </w:rPr>
              <w:t>has proven critical for emergency preparedness.</w:t>
            </w:r>
          </w:p>
          <w:p w14:paraId="67795E55" w14:textId="77777777" w:rsidR="00E741F5" w:rsidRPr="000244EE" w:rsidRDefault="00E741F5" w:rsidP="00E741F5">
            <w:pPr>
              <w:pStyle w:val="ListParagraph"/>
              <w:numPr>
                <w:ilvl w:val="0"/>
                <w:numId w:val="29"/>
              </w:numPr>
              <w:rPr>
                <w:lang w:val="en-GB"/>
              </w:rPr>
            </w:pPr>
            <w:r w:rsidRPr="00D01283">
              <w:rPr>
                <w:b/>
                <w:lang w:val="en-GB"/>
              </w:rPr>
              <w:t>The UHC movement must ‘seize the moment’</w:t>
            </w:r>
            <w:r>
              <w:rPr>
                <w:lang w:val="en-GB"/>
              </w:rPr>
              <w:t>, especially to i) link health/wellbeing + rebuilding economies, ii) propose improvements in current designs for multi-sector coordination, iii) amplify messaging on community engagement/involvement in successful responses.</w:t>
            </w:r>
          </w:p>
          <w:p w14:paraId="3624E1A9" w14:textId="77777777" w:rsidR="00E741F5" w:rsidRDefault="00E741F5" w:rsidP="00E741F5">
            <w:pPr>
              <w:pStyle w:val="ListParagraph"/>
              <w:numPr>
                <w:ilvl w:val="0"/>
                <w:numId w:val="29"/>
              </w:numPr>
              <w:rPr>
                <w:lang w:val="en-GB"/>
              </w:rPr>
            </w:pPr>
            <w:r w:rsidRPr="00D01283">
              <w:rPr>
                <w:b/>
                <w:lang w:val="en-GB"/>
              </w:rPr>
              <w:t>To sharpen messaging:</w:t>
            </w:r>
            <w:r>
              <w:rPr>
                <w:lang w:val="en-GB"/>
              </w:rPr>
              <w:t xml:space="preserve"> i) clarify ‘</w:t>
            </w:r>
            <w:r w:rsidRPr="001A7BB8">
              <w:rPr>
                <w:lang w:val="en-GB"/>
              </w:rPr>
              <w:t>common goods</w:t>
            </w:r>
            <w:r>
              <w:rPr>
                <w:lang w:val="en-GB"/>
              </w:rPr>
              <w:t>’/’</w:t>
            </w:r>
            <w:r w:rsidRPr="001A7BB8">
              <w:rPr>
                <w:lang w:val="en-GB"/>
              </w:rPr>
              <w:t>public goods</w:t>
            </w:r>
            <w:r>
              <w:rPr>
                <w:lang w:val="en-GB"/>
              </w:rPr>
              <w:t>’/’public health actions’, ii) stronger focus on equity and rights, iii) connect with health financing agenda.</w:t>
            </w:r>
          </w:p>
          <w:p w14:paraId="3FF1D0C2" w14:textId="77777777" w:rsidR="00E741F5" w:rsidRDefault="00E741F5" w:rsidP="00E741F5">
            <w:pPr>
              <w:pStyle w:val="ListParagraph"/>
              <w:numPr>
                <w:ilvl w:val="0"/>
                <w:numId w:val="29"/>
              </w:numPr>
              <w:rPr>
                <w:lang w:val="en-GB"/>
              </w:rPr>
            </w:pPr>
            <w:r>
              <w:rPr>
                <w:b/>
                <w:lang w:val="en-GB"/>
              </w:rPr>
              <w:t>Make full use of the UHC political declaration</w:t>
            </w:r>
            <w:r>
              <w:rPr>
                <w:lang w:val="en-GB"/>
              </w:rPr>
              <w:t>, which includes commitments on emergency preparedness, to help frame messages. Consider how best to frame UHC2030 “asks” relative to “commitments”.</w:t>
            </w:r>
          </w:p>
          <w:p w14:paraId="3AE27D71" w14:textId="77777777" w:rsidR="00E741F5" w:rsidRPr="001A7BB8" w:rsidRDefault="00E741F5" w:rsidP="00E741F5">
            <w:pPr>
              <w:pStyle w:val="ListParagraph"/>
              <w:numPr>
                <w:ilvl w:val="0"/>
                <w:numId w:val="29"/>
              </w:numPr>
              <w:rPr>
                <w:lang w:val="en-GB"/>
              </w:rPr>
            </w:pPr>
            <w:r>
              <w:rPr>
                <w:b/>
                <w:lang w:val="en-GB"/>
              </w:rPr>
              <w:t xml:space="preserve">Opportunities to explore: </w:t>
            </w:r>
            <w:r>
              <w:rPr>
                <w:lang w:val="en-GB"/>
              </w:rPr>
              <w:t xml:space="preserve">collaboration on health workforce with ‘Working for Health’ multi-stakeholder programme (OECD, ILO, WHO), on sustainable financing </w:t>
            </w:r>
            <w:r>
              <w:rPr>
                <w:lang w:val="en-GB"/>
              </w:rPr>
              <w:lastRenderedPageBreak/>
              <w:t>with OECD senior budget &amp; health officials network, and with private sector constituency to identify private sector role/partnerships in actions (e.g. on data, digital, private capital).</w:t>
            </w:r>
          </w:p>
          <w:p w14:paraId="1DF31F29" w14:textId="77777777" w:rsidR="00E741F5" w:rsidRPr="00FA31F2" w:rsidRDefault="00E741F5" w:rsidP="00EE50B3">
            <w:pPr>
              <w:rPr>
                <w:lang w:val="en-GB"/>
              </w:rPr>
            </w:pPr>
          </w:p>
        </w:tc>
        <w:tc>
          <w:tcPr>
            <w:tcW w:w="4608" w:type="dxa"/>
          </w:tcPr>
          <w:p w14:paraId="12FF29D6" w14:textId="77777777" w:rsidR="00E741F5" w:rsidRPr="00D01283" w:rsidRDefault="00E741F5" w:rsidP="00EE50B3">
            <w:pPr>
              <w:rPr>
                <w:b/>
                <w:i/>
                <w:lang w:val="en-GB"/>
              </w:rPr>
            </w:pPr>
            <w:r w:rsidRPr="00D01283">
              <w:rPr>
                <w:b/>
                <w:i/>
                <w:lang w:val="en-GB"/>
              </w:rPr>
              <w:lastRenderedPageBreak/>
              <w:t>SC decisions</w:t>
            </w:r>
          </w:p>
          <w:p w14:paraId="61F4A439" w14:textId="77777777" w:rsidR="00E741F5" w:rsidRDefault="00E741F5" w:rsidP="00E741F5">
            <w:pPr>
              <w:pStyle w:val="ListParagraph"/>
              <w:numPr>
                <w:ilvl w:val="0"/>
                <w:numId w:val="31"/>
              </w:numPr>
              <w:rPr>
                <w:lang w:val="en-GB"/>
              </w:rPr>
            </w:pPr>
            <w:r>
              <w:rPr>
                <w:lang w:val="en-GB"/>
              </w:rPr>
              <w:t>Support for UHC2030’s role to promote strong UHC focus in COVID-19 context, and help promote common goods for health.</w:t>
            </w:r>
          </w:p>
          <w:p w14:paraId="014D025E" w14:textId="77777777" w:rsidR="00E741F5" w:rsidRPr="00BF0ACE" w:rsidRDefault="00E741F5" w:rsidP="00E741F5">
            <w:pPr>
              <w:pStyle w:val="ListParagraph"/>
              <w:numPr>
                <w:ilvl w:val="0"/>
                <w:numId w:val="31"/>
              </w:numPr>
              <w:rPr>
                <w:b/>
                <w:lang w:val="en-GB"/>
              </w:rPr>
            </w:pPr>
            <w:r w:rsidRPr="00F94171">
              <w:rPr>
                <w:lang w:val="en-GB"/>
              </w:rPr>
              <w:t xml:space="preserve">Support for paper + narrative framing linkages between health emergencies and UHC, and </w:t>
            </w:r>
            <w:r w:rsidRPr="00BF0ACE">
              <w:rPr>
                <w:lang w:val="en-GB"/>
              </w:rPr>
              <w:t xml:space="preserve">agreement it can be used as “UHC2030 paper” so UHC2030 membership comes together behind key messages. </w:t>
            </w:r>
            <w:r>
              <w:rPr>
                <w:lang w:val="en-GB"/>
              </w:rPr>
              <w:t>S</w:t>
            </w:r>
            <w:r w:rsidRPr="00BF0ACE">
              <w:rPr>
                <w:lang w:val="en-GB"/>
              </w:rPr>
              <w:t>teer to focus on ‘forward look’ promoting and building on messages/actions (i.e. not a process for individual member organisations to formally “endorse” paper).</w:t>
            </w:r>
          </w:p>
          <w:p w14:paraId="02607398" w14:textId="77777777" w:rsidR="00E741F5" w:rsidRDefault="00E741F5" w:rsidP="00EE50B3">
            <w:pPr>
              <w:rPr>
                <w:b/>
                <w:lang w:val="en-GB"/>
              </w:rPr>
            </w:pPr>
          </w:p>
          <w:p w14:paraId="493F3E79" w14:textId="77777777" w:rsidR="00E741F5" w:rsidRPr="00D01283" w:rsidRDefault="00E741F5" w:rsidP="00EE50B3">
            <w:pPr>
              <w:rPr>
                <w:b/>
                <w:i/>
                <w:lang w:val="en-GB"/>
              </w:rPr>
            </w:pPr>
            <w:r w:rsidRPr="00D01283">
              <w:rPr>
                <w:b/>
                <w:i/>
                <w:lang w:val="en-GB"/>
              </w:rPr>
              <w:t>Follow up actions</w:t>
            </w:r>
          </w:p>
          <w:p w14:paraId="1A4C8C66" w14:textId="77777777" w:rsidR="00E741F5" w:rsidRDefault="00E741F5" w:rsidP="00E741F5">
            <w:pPr>
              <w:pStyle w:val="ListParagraph"/>
              <w:numPr>
                <w:ilvl w:val="0"/>
                <w:numId w:val="29"/>
              </w:numPr>
              <w:rPr>
                <w:lang w:val="en-GB"/>
              </w:rPr>
            </w:pPr>
            <w:r>
              <w:rPr>
                <w:lang w:val="en-GB"/>
              </w:rPr>
              <w:t>Core Team and OECD follow up on opportunities with Working for Health and Budget &amp; Health Officials network</w:t>
            </w:r>
          </w:p>
          <w:p w14:paraId="05B2E785" w14:textId="77777777" w:rsidR="00E741F5" w:rsidRDefault="00E741F5" w:rsidP="00E741F5">
            <w:pPr>
              <w:pStyle w:val="ListParagraph"/>
              <w:numPr>
                <w:ilvl w:val="0"/>
                <w:numId w:val="29"/>
              </w:numPr>
              <w:rPr>
                <w:lang w:val="en-GB"/>
              </w:rPr>
            </w:pPr>
            <w:r>
              <w:rPr>
                <w:lang w:val="en-GB"/>
              </w:rPr>
              <w:t>Private sector constituency + Core Team: identify role/partnership in actions.</w:t>
            </w:r>
          </w:p>
          <w:p w14:paraId="3B689137" w14:textId="77777777" w:rsidR="00E741F5" w:rsidRDefault="00E741F5" w:rsidP="00E741F5">
            <w:pPr>
              <w:pStyle w:val="ListParagraph"/>
              <w:numPr>
                <w:ilvl w:val="0"/>
                <w:numId w:val="29"/>
              </w:numPr>
              <w:rPr>
                <w:lang w:val="en-GB"/>
              </w:rPr>
            </w:pPr>
            <w:r>
              <w:rPr>
                <w:lang w:val="en-GB"/>
              </w:rPr>
              <w:t>Resolve status/language re. UHC “asks” cf. “commitments”.</w:t>
            </w:r>
          </w:p>
          <w:p w14:paraId="3597B1CA" w14:textId="77777777" w:rsidR="00E741F5" w:rsidRDefault="00E741F5" w:rsidP="00E741F5">
            <w:pPr>
              <w:pStyle w:val="ListParagraph"/>
              <w:numPr>
                <w:ilvl w:val="0"/>
                <w:numId w:val="29"/>
              </w:numPr>
              <w:rPr>
                <w:lang w:val="en-GB"/>
              </w:rPr>
            </w:pPr>
            <w:r w:rsidRPr="00DF294C">
              <w:rPr>
                <w:lang w:val="en-GB"/>
              </w:rPr>
              <w:t>See discussion/actions for 1.2 below.</w:t>
            </w:r>
          </w:p>
          <w:p w14:paraId="178C5ED0" w14:textId="77777777" w:rsidR="00E741F5" w:rsidRPr="0056781D" w:rsidRDefault="00E741F5" w:rsidP="00EE50B3">
            <w:pPr>
              <w:rPr>
                <w:lang w:val="en-GB"/>
              </w:rPr>
            </w:pPr>
          </w:p>
        </w:tc>
      </w:tr>
      <w:tr w:rsidR="00E741F5" w:rsidRPr="00FA31F2" w14:paraId="32B2C0ED" w14:textId="77777777" w:rsidTr="005F612B">
        <w:tc>
          <w:tcPr>
            <w:tcW w:w="10872" w:type="dxa"/>
            <w:gridSpan w:val="4"/>
            <w:shd w:val="clear" w:color="auto" w:fill="EEECE1" w:themeFill="background2"/>
          </w:tcPr>
          <w:p w14:paraId="3F469033" w14:textId="77777777" w:rsidR="00E741F5" w:rsidRPr="00122ED9" w:rsidRDefault="00E741F5" w:rsidP="00EE50B3">
            <w:pPr>
              <w:rPr>
                <w:b/>
                <w:lang w:val="en-GB"/>
              </w:rPr>
            </w:pPr>
            <w:r w:rsidRPr="00122ED9">
              <w:rPr>
                <w:b/>
                <w:lang w:val="en-GB"/>
              </w:rPr>
              <w:t xml:space="preserve">1.2 From vision to action: Using the UHC2030 platform and products to promote health systems that protect everyone </w:t>
            </w:r>
          </w:p>
          <w:p w14:paraId="1116CC92" w14:textId="77777777" w:rsidR="00E741F5" w:rsidRPr="00FA31F2" w:rsidRDefault="00E741F5" w:rsidP="00EE50B3">
            <w:pPr>
              <w:rPr>
                <w:lang w:val="en-GB"/>
              </w:rPr>
            </w:pPr>
            <w:r w:rsidRPr="00122ED9">
              <w:rPr>
                <w:b/>
                <w:lang w:val="en-GB"/>
              </w:rPr>
              <w:t>Objective</w:t>
            </w:r>
            <w:r w:rsidRPr="00122ED9">
              <w:rPr>
                <w:lang w:val="en-GB"/>
              </w:rPr>
              <w:t>: Agree strategic approaches to promote this agenda (key audiences, moments, collaborations and priority products building on existing workstreams) and make UHC2030 the voice of common goods for health</w:t>
            </w:r>
          </w:p>
        </w:tc>
      </w:tr>
      <w:tr w:rsidR="00E741F5" w:rsidRPr="00FA31F2" w14:paraId="16BD5148" w14:textId="77777777" w:rsidTr="005F612B">
        <w:trPr>
          <w:gridAfter w:val="2"/>
          <w:wAfter w:w="27" w:type="dxa"/>
        </w:trPr>
        <w:tc>
          <w:tcPr>
            <w:tcW w:w="6237" w:type="dxa"/>
          </w:tcPr>
          <w:p w14:paraId="0EA00D4E" w14:textId="77777777" w:rsidR="00E741F5" w:rsidRPr="00D01283" w:rsidRDefault="00E741F5" w:rsidP="00EE50B3">
            <w:pPr>
              <w:rPr>
                <w:b/>
                <w:i/>
                <w:lang w:val="en-GB"/>
              </w:rPr>
            </w:pPr>
            <w:r w:rsidRPr="00D01283">
              <w:rPr>
                <w:b/>
                <w:i/>
                <w:lang w:val="en-GB"/>
              </w:rPr>
              <w:t>Discussion points</w:t>
            </w:r>
          </w:p>
          <w:p w14:paraId="2D2B2E92" w14:textId="77777777" w:rsidR="00E741F5" w:rsidRDefault="00E741F5" w:rsidP="00E741F5">
            <w:pPr>
              <w:pStyle w:val="ListParagraph"/>
              <w:numPr>
                <w:ilvl w:val="0"/>
                <w:numId w:val="32"/>
              </w:numPr>
              <w:rPr>
                <w:lang w:val="en-GB"/>
              </w:rPr>
            </w:pPr>
            <w:r w:rsidRPr="00D01283">
              <w:rPr>
                <w:b/>
                <w:lang w:val="en-GB"/>
              </w:rPr>
              <w:t>UHC2030 and its CSO platform have important roles in bringing people together on these issues at country level and on global stage</w:t>
            </w:r>
            <w:r>
              <w:rPr>
                <w:lang w:val="en-GB"/>
              </w:rPr>
              <w:t xml:space="preserve">, building on strengths and how </w:t>
            </w:r>
            <w:r w:rsidRPr="00AF253E">
              <w:rPr>
                <w:lang w:val="en-GB"/>
              </w:rPr>
              <w:t>shaped agenda in run up to HLM. COVID-19 makes it even more important that UHC2030 sets agenda on health systems plus a foundational approach to address fragmentation</w:t>
            </w:r>
            <w:r>
              <w:rPr>
                <w:lang w:val="en-GB"/>
              </w:rPr>
              <w:t>,</w:t>
            </w:r>
            <w:r w:rsidRPr="00AF253E">
              <w:rPr>
                <w:lang w:val="en-GB"/>
              </w:rPr>
              <w:t xml:space="preserve"> investment in health systems</w:t>
            </w:r>
            <w:r>
              <w:rPr>
                <w:lang w:val="en-GB"/>
              </w:rPr>
              <w:t>, and whole-of-society engagement</w:t>
            </w:r>
            <w:r w:rsidRPr="00AF253E">
              <w:rPr>
                <w:lang w:val="en-GB"/>
              </w:rPr>
              <w:t>.</w:t>
            </w:r>
          </w:p>
          <w:p w14:paraId="6CA66A95" w14:textId="77777777" w:rsidR="00E741F5" w:rsidRDefault="00E741F5" w:rsidP="00E741F5">
            <w:pPr>
              <w:pStyle w:val="ListParagraph"/>
              <w:numPr>
                <w:ilvl w:val="0"/>
                <w:numId w:val="32"/>
              </w:numPr>
              <w:rPr>
                <w:lang w:val="en-GB"/>
              </w:rPr>
            </w:pPr>
            <w:r w:rsidRPr="00D01283">
              <w:rPr>
                <w:b/>
                <w:lang w:val="en-GB"/>
              </w:rPr>
              <w:t>Broad support for the products and actions proposed</w:t>
            </w:r>
            <w:r w:rsidRPr="00D30A05">
              <w:rPr>
                <w:lang w:val="en-GB"/>
              </w:rPr>
              <w:t xml:space="preserve">, especially the political/policy framing and products on political momentum, thought leadership, shared goals. SC members suggested that UHC2030 </w:t>
            </w:r>
            <w:r>
              <w:rPr>
                <w:lang w:val="en-GB"/>
              </w:rPr>
              <w:t xml:space="preserve">i) </w:t>
            </w:r>
            <w:r w:rsidRPr="00D30A05">
              <w:rPr>
                <w:lang w:val="en-GB"/>
              </w:rPr>
              <w:t xml:space="preserve">engages more at country level </w:t>
            </w:r>
            <w:r>
              <w:rPr>
                <w:lang w:val="en-GB"/>
              </w:rPr>
              <w:t>to</w:t>
            </w:r>
            <w:r w:rsidRPr="00D30A05">
              <w:rPr>
                <w:lang w:val="en-GB"/>
              </w:rPr>
              <w:t xml:space="preserve"> promote integration, PHC, and linking recovery strategies with UHC roadmaps</w:t>
            </w:r>
            <w:r>
              <w:rPr>
                <w:lang w:val="en-GB"/>
              </w:rPr>
              <w:t xml:space="preserve">, ii) builds on its strengths </w:t>
            </w:r>
            <w:r w:rsidRPr="0086198B">
              <w:rPr>
                <w:lang w:val="en-GB"/>
              </w:rPr>
              <w:t>in global advocacy plus building CSO capacity</w:t>
            </w:r>
            <w:r>
              <w:rPr>
                <w:lang w:val="en-GB"/>
              </w:rPr>
              <w:t>, iii) considers its role beyond ‘healthcare’ to ‘health’ (e.g. links with social protection, food security, nutrition), iv) tailors hooks/products to engage different audiences – e.g. business case to get private sector involved and mobilise private sector champions for UHC.</w:t>
            </w:r>
          </w:p>
          <w:p w14:paraId="4753C446" w14:textId="77777777" w:rsidR="00E741F5" w:rsidRPr="00D30A05" w:rsidRDefault="00E741F5" w:rsidP="00E741F5">
            <w:pPr>
              <w:pStyle w:val="ListParagraph"/>
              <w:numPr>
                <w:ilvl w:val="0"/>
                <w:numId w:val="32"/>
              </w:numPr>
              <w:rPr>
                <w:lang w:val="en-GB"/>
              </w:rPr>
            </w:pPr>
            <w:r w:rsidRPr="00D01283">
              <w:rPr>
                <w:b/>
                <w:lang w:val="en-GB"/>
              </w:rPr>
              <w:t>Agreement with strategic opportunities identified</w:t>
            </w:r>
            <w:r>
              <w:rPr>
                <w:lang w:val="en-GB"/>
              </w:rPr>
              <w:t xml:space="preserve"> – especially SDGs High Level Political Forum, UNGA, UHC day – plus suggestion to clarify UHC2030 role in ACT-A since it will be important to safeguard principles and ways of working for health systems strengthening and aid effectiveness. UNSG’s interim report on UHC (HLM follow-up) is also an important opportunity to promote messages on UHC and emergencies, plus links to wider investments (e.g. social protection) to build back better.</w:t>
            </w:r>
          </w:p>
          <w:p w14:paraId="739D8BDE" w14:textId="77777777" w:rsidR="00E741F5" w:rsidRPr="00F23B07" w:rsidRDefault="00E741F5" w:rsidP="00E741F5">
            <w:pPr>
              <w:pStyle w:val="ListParagraph"/>
              <w:numPr>
                <w:ilvl w:val="0"/>
                <w:numId w:val="32"/>
              </w:numPr>
              <w:rPr>
                <w:lang w:val="en-GB"/>
              </w:rPr>
            </w:pPr>
            <w:r w:rsidRPr="00D01283">
              <w:rPr>
                <w:b/>
                <w:lang w:val="en-GB"/>
              </w:rPr>
              <w:t>CSEM will contribute a suite of products to raise profile of key issues/messages plus UHC2030 role</w:t>
            </w:r>
            <w:r>
              <w:rPr>
                <w:lang w:val="en-GB"/>
              </w:rPr>
              <w:t xml:space="preserve">: civil society taskforce on funding for in-country advocacy, CSEM calls to action on COVID-19 and UHC, CSEM statement of support for WHO &amp; multilateralism, potential BMJ supplement to complement UHC2030 State of Political Commitment report. </w:t>
            </w:r>
          </w:p>
        </w:tc>
        <w:tc>
          <w:tcPr>
            <w:tcW w:w="4608" w:type="dxa"/>
          </w:tcPr>
          <w:p w14:paraId="7E0BA6B3" w14:textId="77777777" w:rsidR="00E741F5" w:rsidRPr="00D01283" w:rsidRDefault="00E741F5" w:rsidP="00EE50B3">
            <w:pPr>
              <w:rPr>
                <w:b/>
                <w:i/>
                <w:lang w:val="en-GB"/>
              </w:rPr>
            </w:pPr>
            <w:r w:rsidRPr="00D01283">
              <w:rPr>
                <w:b/>
                <w:i/>
                <w:lang w:val="en-GB"/>
              </w:rPr>
              <w:t>SC decisions</w:t>
            </w:r>
          </w:p>
          <w:p w14:paraId="20072654" w14:textId="77777777" w:rsidR="00E741F5" w:rsidRPr="00213F58" w:rsidRDefault="00E741F5" w:rsidP="00E741F5">
            <w:pPr>
              <w:pStyle w:val="ListParagraph"/>
              <w:numPr>
                <w:ilvl w:val="0"/>
                <w:numId w:val="34"/>
              </w:numPr>
              <w:rPr>
                <w:b/>
                <w:lang w:val="en-GB"/>
              </w:rPr>
            </w:pPr>
            <w:r>
              <w:rPr>
                <w:lang w:val="en-GB"/>
              </w:rPr>
              <w:t>Supportive of proposed plans</w:t>
            </w:r>
          </w:p>
          <w:p w14:paraId="4D561D63" w14:textId="77777777" w:rsidR="00E741F5" w:rsidRDefault="00E741F5" w:rsidP="00EE50B3">
            <w:pPr>
              <w:rPr>
                <w:lang w:val="en-GB"/>
              </w:rPr>
            </w:pPr>
          </w:p>
          <w:p w14:paraId="7BB233A1" w14:textId="77777777" w:rsidR="00E741F5" w:rsidRPr="00D01283" w:rsidRDefault="00E741F5" w:rsidP="00EE50B3">
            <w:pPr>
              <w:rPr>
                <w:b/>
                <w:i/>
                <w:lang w:val="en-GB"/>
              </w:rPr>
            </w:pPr>
            <w:r w:rsidRPr="00D01283">
              <w:rPr>
                <w:b/>
                <w:i/>
                <w:lang w:val="en-GB"/>
              </w:rPr>
              <w:t>Follow-up actions</w:t>
            </w:r>
          </w:p>
          <w:p w14:paraId="7E73B16E" w14:textId="77777777" w:rsidR="00E741F5" w:rsidRPr="00803681" w:rsidRDefault="00E741F5" w:rsidP="00E741F5">
            <w:pPr>
              <w:pStyle w:val="ListParagraph"/>
              <w:numPr>
                <w:ilvl w:val="0"/>
                <w:numId w:val="33"/>
              </w:numPr>
              <w:rPr>
                <w:b/>
                <w:lang w:val="en-GB"/>
              </w:rPr>
            </w:pPr>
            <w:r>
              <w:rPr>
                <w:lang w:val="en-GB"/>
              </w:rPr>
              <w:t>Explore UHC2030 role in raising profile of these issues at country level with/through WHO country offices.</w:t>
            </w:r>
          </w:p>
          <w:p w14:paraId="376AB23C" w14:textId="77777777" w:rsidR="00E741F5" w:rsidRPr="00803681" w:rsidRDefault="00E741F5" w:rsidP="00E741F5">
            <w:pPr>
              <w:pStyle w:val="ListParagraph"/>
              <w:numPr>
                <w:ilvl w:val="0"/>
                <w:numId w:val="33"/>
              </w:numPr>
              <w:rPr>
                <w:b/>
                <w:lang w:val="en-GB"/>
              </w:rPr>
            </w:pPr>
            <w:r>
              <w:rPr>
                <w:lang w:val="en-GB"/>
              </w:rPr>
              <w:t>Unpack key asks and actions for specific audiences – especially more specific demands for non-technical (policy/political) actors.</w:t>
            </w:r>
          </w:p>
          <w:p w14:paraId="13448995" w14:textId="77777777" w:rsidR="00E741F5" w:rsidRPr="00D30D70" w:rsidRDefault="00E741F5" w:rsidP="00E741F5">
            <w:pPr>
              <w:pStyle w:val="ListParagraph"/>
              <w:numPr>
                <w:ilvl w:val="0"/>
                <w:numId w:val="33"/>
              </w:numPr>
              <w:rPr>
                <w:b/>
                <w:lang w:val="en-GB"/>
              </w:rPr>
            </w:pPr>
            <w:r>
              <w:rPr>
                <w:lang w:val="en-GB"/>
              </w:rPr>
              <w:t>Explore webinars/training to support CSOs for advocacy at country level.</w:t>
            </w:r>
          </w:p>
          <w:p w14:paraId="475ECE2E" w14:textId="77777777" w:rsidR="00E741F5" w:rsidRPr="008C59B3" w:rsidRDefault="00E741F5" w:rsidP="00E741F5">
            <w:pPr>
              <w:pStyle w:val="ListParagraph"/>
              <w:numPr>
                <w:ilvl w:val="0"/>
                <w:numId w:val="33"/>
              </w:numPr>
              <w:rPr>
                <w:b/>
                <w:lang w:val="en-GB"/>
              </w:rPr>
            </w:pPr>
            <w:r>
              <w:rPr>
                <w:lang w:val="en-GB"/>
              </w:rPr>
              <w:t>Develop support for societal dialogue at country level leveraging existing platforms.</w:t>
            </w:r>
          </w:p>
          <w:p w14:paraId="1B188544" w14:textId="77777777" w:rsidR="00E741F5" w:rsidRPr="0079458D" w:rsidRDefault="00E741F5" w:rsidP="00E741F5">
            <w:pPr>
              <w:pStyle w:val="ListParagraph"/>
              <w:numPr>
                <w:ilvl w:val="0"/>
                <w:numId w:val="33"/>
              </w:numPr>
              <w:rPr>
                <w:b/>
                <w:lang w:val="en-GB"/>
              </w:rPr>
            </w:pPr>
            <w:r>
              <w:rPr>
                <w:lang w:val="en-GB"/>
              </w:rPr>
              <w:t>Update to SC on plans for UNSG’s interim report on UHC plus how UHC2030 can promote UHC/emergencies messages in it.</w:t>
            </w:r>
          </w:p>
        </w:tc>
      </w:tr>
    </w:tbl>
    <w:p w14:paraId="77E3E6E2" w14:textId="77777777" w:rsidR="00E741F5" w:rsidRDefault="00E741F5" w:rsidP="00E741F5">
      <w:r>
        <w:br w:type="page"/>
      </w:r>
    </w:p>
    <w:tbl>
      <w:tblPr>
        <w:tblStyle w:val="TableGrid"/>
        <w:tblW w:w="10632" w:type="dxa"/>
        <w:tblInd w:w="-714" w:type="dxa"/>
        <w:tblLook w:val="04A0" w:firstRow="1" w:lastRow="0" w:firstColumn="1" w:lastColumn="0" w:noHBand="0" w:noVBand="1"/>
      </w:tblPr>
      <w:tblGrid>
        <w:gridCol w:w="6096"/>
        <w:gridCol w:w="4536"/>
      </w:tblGrid>
      <w:tr w:rsidR="00E741F5" w:rsidRPr="00FA31F2" w14:paraId="138DB6B4" w14:textId="77777777" w:rsidTr="005F612B">
        <w:tc>
          <w:tcPr>
            <w:tcW w:w="10632" w:type="dxa"/>
            <w:gridSpan w:val="2"/>
            <w:shd w:val="clear" w:color="auto" w:fill="EEECE1" w:themeFill="background2"/>
          </w:tcPr>
          <w:p w14:paraId="7D1D60FC" w14:textId="77777777" w:rsidR="00E741F5" w:rsidRDefault="00E741F5" w:rsidP="00EE50B3">
            <w:pPr>
              <w:pStyle w:val="Body"/>
              <w:rPr>
                <w:rFonts w:ascii="Arial" w:hAnsi="Arial" w:cs="Arial"/>
                <w:b/>
                <w:sz w:val="20"/>
                <w:szCs w:val="20"/>
              </w:rPr>
            </w:pPr>
            <w:r>
              <w:rPr>
                <w:rFonts w:ascii="Arial" w:hAnsi="Arial" w:cs="Arial"/>
                <w:b/>
                <w:sz w:val="20"/>
                <w:szCs w:val="20"/>
              </w:rPr>
              <w:lastRenderedPageBreak/>
              <w:t xml:space="preserve">Session 2 – UHC2030 resource </w:t>
            </w:r>
            <w:proofErr w:type="spellStart"/>
            <w:r>
              <w:rPr>
                <w:rFonts w:ascii="Arial" w:hAnsi="Arial" w:cs="Arial"/>
                <w:b/>
                <w:sz w:val="20"/>
                <w:szCs w:val="20"/>
              </w:rPr>
              <w:t>mobilisation</w:t>
            </w:r>
            <w:proofErr w:type="spellEnd"/>
          </w:p>
          <w:p w14:paraId="6B1EB189" w14:textId="77777777" w:rsidR="00E741F5" w:rsidRPr="00122ED9" w:rsidRDefault="00E741F5" w:rsidP="00EE50B3">
            <w:pPr>
              <w:rPr>
                <w:b/>
                <w:lang w:val="en-GB"/>
              </w:rPr>
            </w:pPr>
            <w:r>
              <w:rPr>
                <w:rFonts w:ascii="Arial" w:hAnsi="Arial" w:cs="Arial"/>
                <w:b/>
                <w:bCs/>
                <w:sz w:val="20"/>
                <w:szCs w:val="20"/>
              </w:rPr>
              <w:t xml:space="preserve">Objective: </w:t>
            </w:r>
            <w:r>
              <w:rPr>
                <w:rFonts w:ascii="Arial" w:hAnsi="Arial" w:cs="Arial"/>
                <w:bCs/>
                <w:sz w:val="20"/>
                <w:szCs w:val="20"/>
              </w:rPr>
              <w:t>Agree plan to address immediate funding needs</w:t>
            </w:r>
          </w:p>
        </w:tc>
      </w:tr>
      <w:tr w:rsidR="00E741F5" w:rsidRPr="00FA31F2" w14:paraId="260CB503" w14:textId="77777777" w:rsidTr="005F612B">
        <w:tc>
          <w:tcPr>
            <w:tcW w:w="6096" w:type="dxa"/>
          </w:tcPr>
          <w:p w14:paraId="3EA6DA74" w14:textId="77777777" w:rsidR="00E741F5" w:rsidRPr="00D01283" w:rsidRDefault="00E741F5" w:rsidP="00EE50B3">
            <w:pPr>
              <w:rPr>
                <w:i/>
              </w:rPr>
            </w:pPr>
            <w:r w:rsidRPr="00D01283">
              <w:rPr>
                <w:b/>
                <w:i/>
              </w:rPr>
              <w:t>Discussion points</w:t>
            </w:r>
            <w:r w:rsidRPr="00D01283">
              <w:rPr>
                <w:i/>
              </w:rPr>
              <w:t xml:space="preserve"> </w:t>
            </w:r>
          </w:p>
          <w:p w14:paraId="22175D6C" w14:textId="77777777" w:rsidR="00E741F5" w:rsidRDefault="00E741F5" w:rsidP="00E741F5">
            <w:pPr>
              <w:pStyle w:val="ListParagraph"/>
              <w:numPr>
                <w:ilvl w:val="0"/>
                <w:numId w:val="35"/>
              </w:numPr>
              <w:ind w:left="360"/>
            </w:pPr>
            <w:r w:rsidRPr="00D01283">
              <w:rPr>
                <w:b/>
              </w:rPr>
              <w:t>UHC2030’s value proposition should focus especially on political advocacy around shared UHC goals during COVID-19 and how this translates in countries</w:t>
            </w:r>
            <w:r>
              <w:t>. How it is presented will need tailoring to different constituency needs</w:t>
            </w:r>
          </w:p>
          <w:p w14:paraId="7567C46F" w14:textId="77777777" w:rsidR="00E741F5" w:rsidRPr="0077552D" w:rsidRDefault="00E741F5" w:rsidP="00E741F5">
            <w:pPr>
              <w:pStyle w:val="ListParagraph"/>
              <w:numPr>
                <w:ilvl w:val="0"/>
                <w:numId w:val="35"/>
              </w:numPr>
              <w:ind w:left="360"/>
            </w:pPr>
            <w:r w:rsidRPr="0077552D">
              <w:t>Need to consider more carefully advantages and disadvantages of establishing a trust fund given risk of complexity in architecture</w:t>
            </w:r>
          </w:p>
          <w:p w14:paraId="28E7CC1D" w14:textId="77777777" w:rsidR="00E741F5" w:rsidRDefault="00E741F5" w:rsidP="00EE50B3">
            <w:pPr>
              <w:rPr>
                <w:b/>
                <w:i/>
              </w:rPr>
            </w:pPr>
          </w:p>
          <w:p w14:paraId="5F8E3CB1" w14:textId="77777777" w:rsidR="00E741F5" w:rsidRDefault="00E741F5" w:rsidP="00EE50B3">
            <w:r>
              <w:rPr>
                <w:b/>
                <w:i/>
              </w:rPr>
              <w:t>Feedback from specific constituencies</w:t>
            </w:r>
          </w:p>
          <w:p w14:paraId="6EBB2911" w14:textId="77777777" w:rsidR="00E741F5" w:rsidRDefault="00E741F5" w:rsidP="00E741F5">
            <w:pPr>
              <w:pStyle w:val="ListParagraph"/>
              <w:numPr>
                <w:ilvl w:val="0"/>
                <w:numId w:val="35"/>
              </w:numPr>
              <w:ind w:left="360"/>
            </w:pPr>
            <w:r>
              <w:t xml:space="preserve">Donors: would like to see MOUs with GHIs and UN agencies to </w:t>
            </w:r>
            <w:proofErr w:type="spellStart"/>
            <w:r>
              <w:t>formalise</w:t>
            </w:r>
            <w:proofErr w:type="spellEnd"/>
            <w:r>
              <w:t xml:space="preserve"> support/funding; use of existing donor contributions to WHO and the World Bank; </w:t>
            </w:r>
          </w:p>
          <w:p w14:paraId="1D23580E" w14:textId="77777777" w:rsidR="00E741F5" w:rsidRDefault="00E741F5" w:rsidP="00E741F5">
            <w:pPr>
              <w:pStyle w:val="ListParagraph"/>
              <w:numPr>
                <w:ilvl w:val="0"/>
                <w:numId w:val="35"/>
              </w:numPr>
              <w:ind w:left="360"/>
            </w:pPr>
            <w:r>
              <w:t>Foundations: keen to reach out to new constituency partners on the basis of the case for support; Gates Foundation willing to consider a 2-year operational grant and Rockefeller Foundation to explore opportunities despite COVID-19 related constraints; short term funding needs to be directly linked to COVID-19 to match interest of donors</w:t>
            </w:r>
          </w:p>
          <w:p w14:paraId="6FF5D3B2" w14:textId="77777777" w:rsidR="00E741F5" w:rsidRDefault="00E741F5" w:rsidP="00E741F5">
            <w:pPr>
              <w:pStyle w:val="ListParagraph"/>
              <w:numPr>
                <w:ilvl w:val="0"/>
                <w:numId w:val="35"/>
              </w:numPr>
              <w:ind w:left="360"/>
            </w:pPr>
            <w:r>
              <w:t xml:space="preserve">Private sector: opportunities to </w:t>
            </w:r>
            <w:proofErr w:type="spellStart"/>
            <w:r>
              <w:t>mobilise</w:t>
            </w:r>
            <w:proofErr w:type="spellEnd"/>
            <w:r>
              <w:t xml:space="preserve"> support from private sector in the short run, building on the narrative, value proposition, ownership, especially if focus on country champions that speaks to private sector, also in the context of future hosting arrangements of the private sector; in the longer run, important to focus on specific products and financial instruments of interest for private sector engagement </w:t>
            </w:r>
          </w:p>
          <w:p w14:paraId="44C73FDC" w14:textId="77777777" w:rsidR="00E741F5" w:rsidRPr="00E710A9" w:rsidRDefault="00E741F5" w:rsidP="00E741F5">
            <w:pPr>
              <w:pStyle w:val="ListParagraph"/>
              <w:numPr>
                <w:ilvl w:val="0"/>
                <w:numId w:val="35"/>
              </w:numPr>
              <w:ind w:left="360"/>
              <w:rPr>
                <w:b/>
                <w:lang w:val="en-GB"/>
              </w:rPr>
            </w:pPr>
            <w:r>
              <w:t>Global health initiatives: in-kind contributions as main type of support and some activity-based co-financing depending on alignment with each agency’s mandate</w:t>
            </w:r>
          </w:p>
        </w:tc>
        <w:tc>
          <w:tcPr>
            <w:tcW w:w="4536" w:type="dxa"/>
          </w:tcPr>
          <w:p w14:paraId="2AE9BFDA" w14:textId="77777777" w:rsidR="00E741F5" w:rsidRPr="00D01283" w:rsidRDefault="00E741F5" w:rsidP="00EE50B3">
            <w:pPr>
              <w:rPr>
                <w:b/>
                <w:i/>
                <w:lang w:val="en-GB"/>
              </w:rPr>
            </w:pPr>
            <w:r w:rsidRPr="00D01283">
              <w:rPr>
                <w:b/>
                <w:i/>
                <w:lang w:val="en-GB"/>
              </w:rPr>
              <w:t>SC decisions</w:t>
            </w:r>
          </w:p>
          <w:p w14:paraId="6471DB5F" w14:textId="77777777" w:rsidR="00E741F5" w:rsidRDefault="00E741F5" w:rsidP="00E741F5">
            <w:pPr>
              <w:pStyle w:val="ListParagraph"/>
              <w:numPr>
                <w:ilvl w:val="0"/>
                <w:numId w:val="35"/>
              </w:numPr>
              <w:ind w:left="360"/>
            </w:pPr>
            <w:r>
              <w:rPr>
                <w:lang w:val="en-GB"/>
              </w:rPr>
              <w:t xml:space="preserve">Supportive of the work done so far by the sub-group on resource mobilisation and </w:t>
            </w:r>
            <w:r>
              <w:t>the proposed approach to accelerate the mobilization of resources from new or existing donors.</w:t>
            </w:r>
          </w:p>
          <w:p w14:paraId="7EF9A8CB" w14:textId="77777777" w:rsidR="00E741F5" w:rsidRPr="00D31EDA" w:rsidRDefault="00E741F5" w:rsidP="00EE50B3">
            <w:pPr>
              <w:pStyle w:val="ListParagraph"/>
              <w:ind w:left="360"/>
            </w:pPr>
          </w:p>
          <w:p w14:paraId="4ACD796B" w14:textId="77777777" w:rsidR="00E741F5" w:rsidRPr="00D01283" w:rsidRDefault="00E741F5" w:rsidP="00EE50B3">
            <w:pPr>
              <w:rPr>
                <w:b/>
                <w:i/>
                <w:lang w:val="en-GB"/>
              </w:rPr>
            </w:pPr>
            <w:r w:rsidRPr="00D01283">
              <w:rPr>
                <w:b/>
                <w:i/>
                <w:lang w:val="en-GB"/>
              </w:rPr>
              <w:t>Follow up actions</w:t>
            </w:r>
          </w:p>
          <w:p w14:paraId="47B7D982" w14:textId="77777777" w:rsidR="00E741F5" w:rsidRDefault="00E741F5" w:rsidP="00E741F5">
            <w:pPr>
              <w:pStyle w:val="ListParagraph"/>
              <w:numPr>
                <w:ilvl w:val="0"/>
                <w:numId w:val="35"/>
              </w:numPr>
              <w:ind w:left="360"/>
            </w:pPr>
            <w:r>
              <w:t>Develop the “case for support”, a brief document that frames the value proposition and work of UHC2030 that everyone can use to reach out to potential donors</w:t>
            </w:r>
          </w:p>
          <w:p w14:paraId="73202FAF" w14:textId="77777777" w:rsidR="00E741F5" w:rsidRDefault="00E741F5" w:rsidP="00E741F5">
            <w:pPr>
              <w:pStyle w:val="ListParagraph"/>
              <w:numPr>
                <w:ilvl w:val="0"/>
                <w:numId w:val="35"/>
              </w:numPr>
              <w:ind w:left="360"/>
            </w:pPr>
            <w:r>
              <w:t>Individual follow-up meetings with constituencies whose members have confirmed interest to consider financial support</w:t>
            </w:r>
          </w:p>
          <w:p w14:paraId="34D23626" w14:textId="77777777" w:rsidR="00E741F5" w:rsidRPr="009D29E2" w:rsidRDefault="00E741F5" w:rsidP="00EE50B3">
            <w:pPr>
              <w:rPr>
                <w:lang w:val="en-GB"/>
              </w:rPr>
            </w:pPr>
          </w:p>
          <w:p w14:paraId="7F742718" w14:textId="77777777" w:rsidR="00E741F5" w:rsidRPr="00122ED9" w:rsidRDefault="00E741F5" w:rsidP="00EE50B3">
            <w:pPr>
              <w:rPr>
                <w:b/>
                <w:lang w:val="en-GB"/>
              </w:rPr>
            </w:pPr>
          </w:p>
        </w:tc>
      </w:tr>
      <w:bookmarkEnd w:id="4"/>
    </w:tbl>
    <w:p w14:paraId="50890024" w14:textId="77777777" w:rsidR="00E741F5" w:rsidRDefault="00E741F5" w:rsidP="005F612B">
      <w:pPr>
        <w:rPr>
          <w:lang w:val="en-GB"/>
        </w:rPr>
      </w:pPr>
    </w:p>
    <w:sectPr w:rsidR="00E741F5" w:rsidSect="00981D4E">
      <w:pgSz w:w="11906" w:h="16838"/>
      <w:pgMar w:top="851" w:right="991" w:bottom="709"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AB6B" w14:textId="77777777" w:rsidR="006007FB" w:rsidRDefault="006007FB" w:rsidP="006007FB">
      <w:pPr>
        <w:spacing w:after="0" w:line="240" w:lineRule="auto"/>
      </w:pPr>
      <w:r>
        <w:separator/>
      </w:r>
    </w:p>
  </w:endnote>
  <w:endnote w:type="continuationSeparator" w:id="0">
    <w:p w14:paraId="644558BD" w14:textId="77777777" w:rsidR="006007FB" w:rsidRDefault="006007FB" w:rsidP="0060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08114"/>
      <w:docPartObj>
        <w:docPartGallery w:val="Page Numbers (Bottom of Page)"/>
        <w:docPartUnique/>
      </w:docPartObj>
    </w:sdtPr>
    <w:sdtEndPr>
      <w:rPr>
        <w:noProof/>
      </w:rPr>
    </w:sdtEndPr>
    <w:sdtContent>
      <w:p w14:paraId="0652950D" w14:textId="33C93962" w:rsidR="00981D4E" w:rsidRDefault="00981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BE444" w14:textId="77777777" w:rsidR="00981D4E" w:rsidRDefault="0098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DCF8" w14:textId="77777777" w:rsidR="006007FB" w:rsidRDefault="006007FB" w:rsidP="006007FB">
      <w:pPr>
        <w:spacing w:after="0" w:line="240" w:lineRule="auto"/>
      </w:pPr>
      <w:r>
        <w:separator/>
      </w:r>
    </w:p>
  </w:footnote>
  <w:footnote w:type="continuationSeparator" w:id="0">
    <w:p w14:paraId="21289BE4" w14:textId="77777777" w:rsidR="006007FB" w:rsidRDefault="006007FB" w:rsidP="0060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06A9" w14:textId="4B21C56D" w:rsidR="005F612B" w:rsidRDefault="005F612B" w:rsidP="005F612B">
    <w:pPr>
      <w:pStyle w:val="Header"/>
      <w:jc w:val="right"/>
    </w:pPr>
    <w:r w:rsidRPr="00E2092E">
      <w:t>UHC2030/SC</w:t>
    </w:r>
    <w:r>
      <w:t>8</w:t>
    </w:r>
    <w:r w:rsidRPr="00E2092E">
      <w:t>/2021/0</w:t>
    </w:r>
    <w:r>
      <w:t>3</w:t>
    </w:r>
    <w:r w:rsidRPr="00E2092E">
      <w:t>. Rev</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0294" w14:textId="1047E800" w:rsidR="005F612B" w:rsidRDefault="005F612B" w:rsidP="005F612B">
    <w:pPr>
      <w:pStyle w:val="Header"/>
      <w:jc w:val="right"/>
    </w:pPr>
    <w:r>
      <w:t>U</w:t>
    </w:r>
    <w:r w:rsidRPr="00E2092E">
      <w:t>HC2030/SC</w:t>
    </w:r>
    <w:r>
      <w:t>8</w:t>
    </w:r>
    <w:r w:rsidRPr="00E2092E">
      <w:t>/2021/0</w:t>
    </w:r>
    <w:r>
      <w:t>3</w:t>
    </w:r>
    <w:r w:rsidRPr="00E2092E">
      <w:t>. Rev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A24"/>
    <w:multiLevelType w:val="hybridMultilevel"/>
    <w:tmpl w:val="83E69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1354"/>
    <w:multiLevelType w:val="hybridMultilevel"/>
    <w:tmpl w:val="624C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4544D"/>
    <w:multiLevelType w:val="hybridMultilevel"/>
    <w:tmpl w:val="195C5A0A"/>
    <w:lvl w:ilvl="0" w:tplc="08090001">
      <w:start w:val="1"/>
      <w:numFmt w:val="bullet"/>
      <w:lvlText w:val=""/>
      <w:lvlJc w:val="left"/>
      <w:pPr>
        <w:ind w:left="1080" w:hanging="360"/>
      </w:pPr>
      <w:rPr>
        <w:rFonts w:ascii="Symbol" w:hAnsi="Symbol" w:hint="default"/>
        <w:b w:val="0"/>
        <w:bCs/>
        <w:sz w:val="18"/>
        <w:szCs w:val="1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E89478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A5D7A"/>
    <w:multiLevelType w:val="hybridMultilevel"/>
    <w:tmpl w:val="A5C4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D76A1"/>
    <w:multiLevelType w:val="hybridMultilevel"/>
    <w:tmpl w:val="C7CA47E0"/>
    <w:lvl w:ilvl="0" w:tplc="DBCA62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560B5E"/>
    <w:multiLevelType w:val="hybridMultilevel"/>
    <w:tmpl w:val="AD54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D7D26"/>
    <w:multiLevelType w:val="multilevel"/>
    <w:tmpl w:val="ED0ED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1116F5"/>
    <w:multiLevelType w:val="hybridMultilevel"/>
    <w:tmpl w:val="E93AF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B45AC"/>
    <w:multiLevelType w:val="hybridMultilevel"/>
    <w:tmpl w:val="3AE2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950D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082"/>
    <w:multiLevelType w:val="hybridMultilevel"/>
    <w:tmpl w:val="D4F0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70716"/>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600EE"/>
    <w:multiLevelType w:val="hybridMultilevel"/>
    <w:tmpl w:val="BF82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D0216"/>
    <w:multiLevelType w:val="hybridMultilevel"/>
    <w:tmpl w:val="4F3AE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D0001"/>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46E1A"/>
    <w:multiLevelType w:val="hybridMultilevel"/>
    <w:tmpl w:val="71DC8E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10A30"/>
    <w:multiLevelType w:val="hybridMultilevel"/>
    <w:tmpl w:val="F48C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05510"/>
    <w:multiLevelType w:val="hybridMultilevel"/>
    <w:tmpl w:val="0A9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B0202"/>
    <w:multiLevelType w:val="hybridMultilevel"/>
    <w:tmpl w:val="904E7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133F7"/>
    <w:multiLevelType w:val="hybridMultilevel"/>
    <w:tmpl w:val="05DC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7691B"/>
    <w:multiLevelType w:val="hybridMultilevel"/>
    <w:tmpl w:val="01380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07997"/>
    <w:multiLevelType w:val="hybridMultilevel"/>
    <w:tmpl w:val="DD000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25F48"/>
    <w:multiLevelType w:val="hybridMultilevel"/>
    <w:tmpl w:val="46521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D409E0"/>
    <w:multiLevelType w:val="hybridMultilevel"/>
    <w:tmpl w:val="059805EC"/>
    <w:lvl w:ilvl="0" w:tplc="08F03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752DF"/>
    <w:multiLevelType w:val="hybridMultilevel"/>
    <w:tmpl w:val="120A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977DD"/>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C6BA7"/>
    <w:multiLevelType w:val="hybridMultilevel"/>
    <w:tmpl w:val="40D2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06980"/>
    <w:multiLevelType w:val="hybridMultilevel"/>
    <w:tmpl w:val="7BC4723A"/>
    <w:lvl w:ilvl="0" w:tplc="3560F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94624"/>
    <w:multiLevelType w:val="hybridMultilevel"/>
    <w:tmpl w:val="25A6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A548A6"/>
    <w:multiLevelType w:val="hybridMultilevel"/>
    <w:tmpl w:val="C2A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21693"/>
    <w:multiLevelType w:val="hybridMultilevel"/>
    <w:tmpl w:val="896E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4225B0"/>
    <w:multiLevelType w:val="hybridMultilevel"/>
    <w:tmpl w:val="3F3E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D234C"/>
    <w:multiLevelType w:val="hybridMultilevel"/>
    <w:tmpl w:val="C40EF0AE"/>
    <w:lvl w:ilvl="0" w:tplc="CF209990">
      <w:start w:val="1"/>
      <w:numFmt w:val="lowerRoman"/>
      <w:lvlText w:val="%1."/>
      <w:lvlJc w:val="left"/>
      <w:pPr>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501B4"/>
    <w:multiLevelType w:val="hybridMultilevel"/>
    <w:tmpl w:val="F328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4C6670"/>
    <w:multiLevelType w:val="hybridMultilevel"/>
    <w:tmpl w:val="5BA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5247C"/>
    <w:multiLevelType w:val="hybridMultilevel"/>
    <w:tmpl w:val="B832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1662AE"/>
    <w:multiLevelType w:val="hybridMultilevel"/>
    <w:tmpl w:val="D954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26E48"/>
    <w:multiLevelType w:val="hybridMultilevel"/>
    <w:tmpl w:val="059805EC"/>
    <w:lvl w:ilvl="0" w:tplc="08F0349E">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3F5FA8"/>
    <w:multiLevelType w:val="hybridMultilevel"/>
    <w:tmpl w:val="FC90A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27"/>
  </w:num>
  <w:num w:numId="4">
    <w:abstractNumId w:val="33"/>
  </w:num>
  <w:num w:numId="5">
    <w:abstractNumId w:val="24"/>
  </w:num>
  <w:num w:numId="6">
    <w:abstractNumId w:val="28"/>
  </w:num>
  <w:num w:numId="7">
    <w:abstractNumId w:val="10"/>
  </w:num>
  <w:num w:numId="8">
    <w:abstractNumId w:val="38"/>
  </w:num>
  <w:num w:numId="9">
    <w:abstractNumId w:val="3"/>
  </w:num>
  <w:num w:numId="10">
    <w:abstractNumId w:val="12"/>
  </w:num>
  <w:num w:numId="11">
    <w:abstractNumId w:val="15"/>
  </w:num>
  <w:num w:numId="12">
    <w:abstractNumId w:val="26"/>
  </w:num>
  <w:num w:numId="13">
    <w:abstractNumId w:val="6"/>
  </w:num>
  <w:num w:numId="14">
    <w:abstractNumId w:val="36"/>
  </w:num>
  <w:num w:numId="15">
    <w:abstractNumId w:val="23"/>
  </w:num>
  <w:num w:numId="16">
    <w:abstractNumId w:val="39"/>
  </w:num>
  <w:num w:numId="17">
    <w:abstractNumId w:val="21"/>
  </w:num>
  <w:num w:numId="18">
    <w:abstractNumId w:val="4"/>
  </w:num>
  <w:num w:numId="19">
    <w:abstractNumId w:val="34"/>
  </w:num>
  <w:num w:numId="20">
    <w:abstractNumId w:val="20"/>
  </w:num>
  <w:num w:numId="21">
    <w:abstractNumId w:val="37"/>
  </w:num>
  <w:num w:numId="22">
    <w:abstractNumId w:val="11"/>
  </w:num>
  <w:num w:numId="23">
    <w:abstractNumId w:val="22"/>
  </w:num>
  <w:num w:numId="24">
    <w:abstractNumId w:val="31"/>
  </w:num>
  <w:num w:numId="25">
    <w:abstractNumId w:val="13"/>
  </w:num>
  <w:num w:numId="26">
    <w:abstractNumId w:val="1"/>
  </w:num>
  <w:num w:numId="27">
    <w:abstractNumId w:val="9"/>
  </w:num>
  <w:num w:numId="28">
    <w:abstractNumId w:val="17"/>
  </w:num>
  <w:num w:numId="29">
    <w:abstractNumId w:val="32"/>
  </w:num>
  <w:num w:numId="30">
    <w:abstractNumId w:val="7"/>
  </w:num>
  <w:num w:numId="31">
    <w:abstractNumId w:val="8"/>
  </w:num>
  <w:num w:numId="32">
    <w:abstractNumId w:val="14"/>
  </w:num>
  <w:num w:numId="33">
    <w:abstractNumId w:val="0"/>
  </w:num>
  <w:num w:numId="34">
    <w:abstractNumId w:val="19"/>
  </w:num>
  <w:num w:numId="35">
    <w:abstractNumId w:val="30"/>
  </w:num>
  <w:num w:numId="36">
    <w:abstractNumId w:val="5"/>
  </w:num>
  <w:num w:numId="37">
    <w:abstractNumId w:val="2"/>
  </w:num>
  <w:num w:numId="38">
    <w:abstractNumId w:val="35"/>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B"/>
    <w:rsid w:val="000036D0"/>
    <w:rsid w:val="00014D03"/>
    <w:rsid w:val="000E710F"/>
    <w:rsid w:val="003663BC"/>
    <w:rsid w:val="00454546"/>
    <w:rsid w:val="005F612B"/>
    <w:rsid w:val="006007FB"/>
    <w:rsid w:val="00650486"/>
    <w:rsid w:val="007234F8"/>
    <w:rsid w:val="00790D9B"/>
    <w:rsid w:val="00863802"/>
    <w:rsid w:val="00981D4E"/>
    <w:rsid w:val="009F0775"/>
    <w:rsid w:val="00A05340"/>
    <w:rsid w:val="00BE6FE0"/>
    <w:rsid w:val="00E74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2B2FF"/>
  <w15:chartTrackingRefBased/>
  <w15:docId w15:val="{6691F5E9-7BC4-4AAC-99C4-A28DDC2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07FB"/>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7FB"/>
    <w:rPr>
      <w:sz w:val="16"/>
      <w:szCs w:val="16"/>
    </w:rPr>
  </w:style>
  <w:style w:type="paragraph" w:styleId="ListParagraph">
    <w:name w:val="List Paragraph"/>
    <w:aliases w:val="Paragraph"/>
    <w:basedOn w:val="Normal"/>
    <w:link w:val="ListParagraphChar"/>
    <w:uiPriority w:val="34"/>
    <w:qFormat/>
    <w:rsid w:val="006007FB"/>
    <w:pPr>
      <w:ind w:left="720"/>
      <w:contextualSpacing/>
    </w:pPr>
  </w:style>
  <w:style w:type="character" w:customStyle="1" w:styleId="ListParagraphChar">
    <w:name w:val="List Paragraph Char"/>
    <w:aliases w:val="Paragraph Char"/>
    <w:link w:val="ListParagraph"/>
    <w:uiPriority w:val="34"/>
    <w:locked/>
    <w:rsid w:val="006007FB"/>
    <w:rPr>
      <w:rFonts w:ascii="Calibri" w:eastAsia="Calibri" w:hAnsi="Calibri" w:cs="Calibri"/>
      <w:lang w:val="en-US" w:eastAsia="zh-CN"/>
    </w:rPr>
  </w:style>
  <w:style w:type="table" w:styleId="TableGrid">
    <w:name w:val="Table Grid"/>
    <w:basedOn w:val="TableNormal"/>
    <w:uiPriority w:val="59"/>
    <w:rsid w:val="006007F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FB"/>
    <w:rPr>
      <w:rFonts w:ascii="Calibri" w:eastAsia="Calibri" w:hAnsi="Calibri" w:cs="Calibri"/>
      <w:lang w:val="en-US" w:eastAsia="zh-CN"/>
    </w:rPr>
  </w:style>
  <w:style w:type="paragraph" w:styleId="Footer">
    <w:name w:val="footer"/>
    <w:basedOn w:val="Normal"/>
    <w:link w:val="FooterChar"/>
    <w:uiPriority w:val="99"/>
    <w:unhideWhenUsed/>
    <w:rsid w:val="0060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FB"/>
    <w:rPr>
      <w:rFonts w:ascii="Calibri" w:eastAsia="Calibri" w:hAnsi="Calibri" w:cs="Calibri"/>
      <w:lang w:val="en-US" w:eastAsia="zh-CN"/>
    </w:rPr>
  </w:style>
  <w:style w:type="paragraph" w:customStyle="1" w:styleId="Body">
    <w:name w:val="Body"/>
    <w:rsid w:val="00E741F5"/>
    <w:rPr>
      <w:rFonts w:ascii="Calibri" w:eastAsia="Calibri" w:hAnsi="Calibri" w:cs="Calibri"/>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5FD4283AB2B45ACD0FADF5514BF02" ma:contentTypeVersion="13" ma:contentTypeDescription="Create a new document." ma:contentTypeScope="" ma:versionID="33426dfa3ee9edbf88e614fe361cb553">
  <xsd:schema xmlns:xsd="http://www.w3.org/2001/XMLSchema" xmlns:xs="http://www.w3.org/2001/XMLSchema" xmlns:p="http://schemas.microsoft.com/office/2006/metadata/properties" xmlns:ns3="ceb5e58f-76c0-4a57-8060-be1caa225e37" xmlns:ns4="268f9314-53c9-4fe4-aeb2-78e4d79fd9d2" targetNamespace="http://schemas.microsoft.com/office/2006/metadata/properties" ma:root="true" ma:fieldsID="1206505075f562ab35767327cf05f5b1" ns3:_="" ns4:_="">
    <xsd:import namespace="ceb5e58f-76c0-4a57-8060-be1caa225e37"/>
    <xsd:import namespace="268f9314-53c9-4fe4-aeb2-78e4d79fd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e58f-76c0-4a57-8060-be1caa225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f9314-53c9-4fe4-aeb2-78e4d79fd9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0172-FF9C-4301-9C5D-5858F781040C}">
  <ds:schemaRefs>
    <ds:schemaRef ds:uri="http://schemas.microsoft.com/sharepoint/v3/contenttype/forms"/>
  </ds:schemaRefs>
</ds:datastoreItem>
</file>

<file path=customXml/itemProps2.xml><?xml version="1.0" encoding="utf-8"?>
<ds:datastoreItem xmlns:ds="http://schemas.openxmlformats.org/officeDocument/2006/customXml" ds:itemID="{34694D67-41CE-4C73-BDD4-4F03FD2A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e58f-76c0-4a57-8060-be1caa225e37"/>
    <ds:schemaRef ds:uri="268f9314-53c9-4fe4-aeb2-78e4d79fd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B6152-4A47-4FF6-8B8B-ED1B8545DF65}">
  <ds:schemaRefs>
    <ds:schemaRef ds:uri="268f9314-53c9-4fe4-aeb2-78e4d79fd9d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eb5e58f-76c0-4a57-8060-be1caa225e3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PASCUAL, Victoria Allah A.</dc:creator>
  <cp:keywords/>
  <dc:description/>
  <cp:lastModifiedBy>REYES PASCUAL, Victoria Allah A.</cp:lastModifiedBy>
  <cp:revision>6</cp:revision>
  <dcterms:created xsi:type="dcterms:W3CDTF">2021-01-20T15:00:00Z</dcterms:created>
  <dcterms:modified xsi:type="dcterms:W3CDTF">2021-01-20T15:42:00Z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0x0101000445FD4283AB2B45ACD0FADF5514BF02</vt:lpwstr>
  </property>
</Properties>
</file>