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37" w:rsidRDefault="00845137">
      <w:pPr>
        <w:pStyle w:val="BodyText"/>
        <w:spacing w:before="6"/>
        <w:ind w:left="0" w:firstLine="0"/>
        <w:rPr>
          <w:rFonts w:ascii="Times New Roman"/>
          <w:sz w:val="17"/>
        </w:rPr>
      </w:pPr>
    </w:p>
    <w:p w:rsidR="00845137" w:rsidRDefault="00181E7E">
      <w:pPr>
        <w:pStyle w:val="BodyText"/>
        <w:spacing w:line="20" w:lineRule="exact"/>
        <w:ind w:left="930" w:firstLine="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GB" w:eastAsia="zh-CN"/>
        </w:rPr>
        <mc:AlternateContent>
          <mc:Choice Requires="wpg">
            <w:drawing>
              <wp:inline distT="0" distB="0" distL="0" distR="0">
                <wp:extent cx="5135880" cy="6350"/>
                <wp:effectExtent l="9525" t="9525" r="762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6350"/>
                          <a:chOff x="0" y="0"/>
                          <a:chExt cx="8088" cy="1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5" y="5"/>
                            <a:ext cx="80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04.4pt;height:.5pt;mso-position-horizontal-relative:char;mso-position-vertical-relative:line" coordsize="8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">
                <v:line id="Line 4" o:spid="_x0000_s1027" style="position:absolute;visibility:visible;mso-wrap-style:square" from="5,5" to="80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ZafcQAAADaAAAADwAAAGRycy9kb3ducmV2LnhtbESPX2uDMBTF3wv9DuEO+lLa6Bxl2KZS&#10;BsJgMNCWgW8Xc6sycyMms3affhkM9ng4f36cQzabXkw0us6ygngbgSCure64UXA555tnEM4ja+wt&#10;k4I7OciOy8UBU21vXNBU+kaEEXYpKmi9H1IpXd2SQbe1A3HwrnY06IMcG6lHvIVx08vHKNpJgx0H&#10;QosDvbRUf5ZfJkDK4qmPv6l4T6q3ZJ17U1bXD6VWD/NpD8LT7P/Df+1XrSCB3yvhBsjj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Zlp9xAAAANoAAAAPAAAAAAAAAAAA&#10;AAAAAKECAABkcnMvZG93bnJldi54bWxQSwUGAAAAAAQABAD5AAAAkgMAAAAA&#10;" strokecolor="#5b9bd4" strokeweight=".48pt"/>
                <w10:anchorlock/>
              </v:group>
            </w:pict>
          </mc:Fallback>
        </mc:AlternateContent>
      </w:r>
    </w:p>
    <w:p w:rsidR="00845137" w:rsidRDefault="00845137">
      <w:pPr>
        <w:pStyle w:val="BodyText"/>
        <w:spacing w:before="8"/>
        <w:ind w:left="0" w:firstLine="0"/>
        <w:rPr>
          <w:rFonts w:ascii="Times New Roman"/>
          <w:sz w:val="16"/>
        </w:rPr>
      </w:pPr>
    </w:p>
    <w:p w:rsidR="00845137" w:rsidRDefault="00181E7E">
      <w:pPr>
        <w:spacing w:before="56"/>
        <w:ind w:left="1562"/>
        <w:rPr>
          <w:i/>
        </w:rPr>
      </w:pPr>
      <w:r>
        <w:rPr>
          <w:i/>
          <w:color w:val="5B9BD4"/>
        </w:rPr>
        <w:t>SATELLITE SESSION: TUESDAY, 15 NOVEMBER, 2016, 12:30- 14:30; ROOM 2.</w:t>
      </w:r>
    </w:p>
    <w:p w:rsidR="00845137" w:rsidRDefault="00845137">
      <w:pPr>
        <w:pStyle w:val="BodyText"/>
        <w:ind w:left="0" w:firstLine="0"/>
        <w:rPr>
          <w:i/>
          <w:sz w:val="28"/>
        </w:rPr>
      </w:pPr>
    </w:p>
    <w:p w:rsidR="00845137" w:rsidRDefault="00181E7E">
      <w:pPr>
        <w:spacing w:before="56" w:line="580" w:lineRule="auto"/>
        <w:ind w:left="1269" w:right="1246"/>
        <w:jc w:val="center"/>
        <w:rPr>
          <w:i/>
        </w:rPr>
      </w:pPr>
      <w:r>
        <w:rPr>
          <w:i/>
          <w:color w:val="5B9BD4"/>
        </w:rPr>
        <w:t>EFFECTIVE DEVELOPMENT COOPERATION FOR HEALTH SYSTEMS STRENGTHENING- SOME PERSPECTIVES OF UHC2030"</w:t>
      </w:r>
    </w:p>
    <w:p w:rsidR="00845137" w:rsidRDefault="00181E7E">
      <w:pPr>
        <w:ind w:left="1267" w:right="1246"/>
        <w:jc w:val="center"/>
        <w:rPr>
          <w:i/>
        </w:rPr>
      </w:pPr>
      <w:r>
        <w:rPr>
          <w:i/>
          <w:color w:val="5B9BD4"/>
          <w:u w:val="single" w:color="5B9BD4"/>
        </w:rPr>
        <w:t xml:space="preserve">Dr. Francis </w:t>
      </w:r>
      <w:proofErr w:type="spellStart"/>
      <w:r>
        <w:rPr>
          <w:i/>
          <w:color w:val="5B9BD4"/>
          <w:u w:val="single" w:color="5B9BD4"/>
        </w:rPr>
        <w:t>Nwachukwu</w:t>
      </w:r>
      <w:proofErr w:type="spellEnd"/>
      <w:r>
        <w:rPr>
          <w:i/>
          <w:color w:val="5B9BD4"/>
          <w:u w:val="single" w:color="5B9BD4"/>
        </w:rPr>
        <w:t xml:space="preserve"> Ukwuije</w:t>
      </w:r>
    </w:p>
    <w:p w:rsidR="00845137" w:rsidRDefault="00845137">
      <w:pPr>
        <w:pStyle w:val="BodyText"/>
        <w:spacing w:before="5"/>
        <w:ind w:left="0" w:firstLine="0"/>
        <w:rPr>
          <w:i/>
          <w:sz w:val="26"/>
        </w:rPr>
      </w:pPr>
    </w:p>
    <w:p w:rsidR="00845137" w:rsidRDefault="00181E7E">
      <w:pPr>
        <w:spacing w:before="57" w:line="259" w:lineRule="auto"/>
        <w:ind w:left="1267" w:right="1246"/>
        <w:jc w:val="center"/>
        <w:rPr>
          <w:i/>
        </w:rPr>
      </w:pPr>
      <w:proofErr w:type="spellStart"/>
      <w:proofErr w:type="gramStart"/>
      <w:r>
        <w:rPr>
          <w:i/>
          <w:color w:val="5B9BD4"/>
        </w:rPr>
        <w:t>Snr</w:t>
      </w:r>
      <w:proofErr w:type="spellEnd"/>
      <w:r>
        <w:rPr>
          <w:i/>
          <w:color w:val="5B9BD4"/>
        </w:rPr>
        <w:t>. Health Economist &amp; Head, Healthcare Financing Equity &amp; Investment/JLN Lead Federal Ministry of Health, Abuja, Nigeria.</w:t>
      </w:r>
      <w:proofErr w:type="gramEnd"/>
    </w:p>
    <w:p w:rsidR="00845137" w:rsidRDefault="00845137">
      <w:pPr>
        <w:pStyle w:val="BodyText"/>
        <w:spacing w:before="8"/>
        <w:ind w:left="0" w:firstLine="0"/>
        <w:rPr>
          <w:i/>
          <w:sz w:val="29"/>
        </w:rPr>
      </w:pPr>
    </w:p>
    <w:p w:rsidR="00845137" w:rsidRDefault="00181E7E">
      <w:pPr>
        <w:ind w:left="1266" w:right="1246"/>
        <w:jc w:val="center"/>
        <w:rPr>
          <w:i/>
        </w:rPr>
      </w:pPr>
      <w:r>
        <w:rPr>
          <w:i/>
          <w:color w:val="5B9BD4"/>
          <w:u w:val="single" w:color="5B9BD4"/>
        </w:rPr>
        <w:t>Comments on the Joint Learning Network (JLN)</w:t>
      </w:r>
    </w:p>
    <w:p w:rsidR="00845137" w:rsidRDefault="00181E7E">
      <w:pPr>
        <w:pStyle w:val="BodyText"/>
        <w:spacing w:before="10"/>
        <w:ind w:left="0" w:firstLine="0"/>
        <w:rPr>
          <w:i/>
          <w:sz w:val="14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143510</wp:posOffset>
                </wp:positionV>
                <wp:extent cx="5128895" cy="0"/>
                <wp:effectExtent l="6985" t="10160" r="762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8pt,11.3pt" to="499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" strokecolor="#5b9bd4" strokeweight=".48pt">
                <w10:wrap type="topAndBottom" anchorx="page"/>
              </v:line>
            </w:pict>
          </mc:Fallback>
        </mc:AlternateContent>
      </w:r>
    </w:p>
    <w:p w:rsidR="00845137" w:rsidRDefault="00845137">
      <w:pPr>
        <w:pStyle w:val="BodyText"/>
        <w:spacing w:before="7"/>
        <w:ind w:left="0" w:firstLine="0"/>
        <w:rPr>
          <w:i/>
          <w:sz w:val="22"/>
        </w:rPr>
      </w:pPr>
    </w:p>
    <w:p w:rsidR="00845137" w:rsidRDefault="00181E7E">
      <w:pPr>
        <w:spacing w:before="52"/>
        <w:ind w:left="100"/>
        <w:rPr>
          <w:sz w:val="24"/>
        </w:rPr>
      </w:pPr>
      <w:r>
        <w:rPr>
          <w:b/>
          <w:sz w:val="24"/>
        </w:rPr>
        <w:t xml:space="preserve">The Challenge: </w:t>
      </w:r>
      <w:r>
        <w:rPr>
          <w:sz w:val="24"/>
        </w:rPr>
        <w:t>On our journey towards UHC</w:t>
      </w:r>
    </w:p>
    <w:p w:rsidR="00845137" w:rsidRDefault="00181E7E">
      <w:pPr>
        <w:pStyle w:val="ListParagraph"/>
        <w:numPr>
          <w:ilvl w:val="0"/>
          <w:numId w:val="2"/>
        </w:numPr>
        <w:tabs>
          <w:tab w:val="left" w:pos="821"/>
        </w:tabs>
        <w:spacing w:before="184"/>
        <w:rPr>
          <w:sz w:val="24"/>
        </w:rPr>
      </w:pPr>
      <w:r>
        <w:rPr>
          <w:sz w:val="24"/>
        </w:rPr>
        <w:t>Health systems reforms are challenging both in design and</w:t>
      </w:r>
      <w:r>
        <w:rPr>
          <w:spacing w:val="-27"/>
          <w:sz w:val="24"/>
        </w:rPr>
        <w:t xml:space="preserve"> </w:t>
      </w:r>
      <w:r>
        <w:rPr>
          <w:sz w:val="24"/>
        </w:rPr>
        <w:t>implementation.</w:t>
      </w:r>
    </w:p>
    <w:p w:rsidR="00845137" w:rsidRDefault="00181E7E">
      <w:pPr>
        <w:pStyle w:val="ListParagraph"/>
        <w:numPr>
          <w:ilvl w:val="0"/>
          <w:numId w:val="2"/>
        </w:numPr>
        <w:tabs>
          <w:tab w:val="left" w:pos="821"/>
        </w:tabs>
        <w:spacing w:before="182"/>
        <w:rPr>
          <w:sz w:val="24"/>
        </w:rPr>
      </w:pPr>
      <w:r>
        <w:rPr>
          <w:sz w:val="24"/>
        </w:rPr>
        <w:t>The formal evidence base is limited with regards to the ‘how to’ of achieving</w:t>
      </w:r>
      <w:r>
        <w:rPr>
          <w:spacing w:val="-28"/>
          <w:sz w:val="24"/>
        </w:rPr>
        <w:t xml:space="preserve"> </w:t>
      </w:r>
      <w:r>
        <w:rPr>
          <w:sz w:val="24"/>
        </w:rPr>
        <w:t>UHC</w:t>
      </w:r>
    </w:p>
    <w:p w:rsidR="00845137" w:rsidRDefault="00181E7E">
      <w:pPr>
        <w:pStyle w:val="ListParagraph"/>
        <w:numPr>
          <w:ilvl w:val="0"/>
          <w:numId w:val="2"/>
        </w:numPr>
        <w:tabs>
          <w:tab w:val="left" w:pos="821"/>
        </w:tabs>
        <w:spacing w:before="182" w:line="259" w:lineRule="auto"/>
        <w:ind w:right="115"/>
        <w:rPr>
          <w:sz w:val="24"/>
        </w:rPr>
      </w:pPr>
      <w:r>
        <w:rPr>
          <w:sz w:val="24"/>
        </w:rPr>
        <w:t>Policymakers and practitioners across different countries operate in silos and don’t have the opportunities to share experience and draw on the experiential knowledge that resides in their</w:t>
      </w:r>
      <w:r>
        <w:rPr>
          <w:spacing w:val="-4"/>
          <w:sz w:val="24"/>
        </w:rPr>
        <w:t xml:space="preserve"> </w:t>
      </w:r>
      <w:r>
        <w:rPr>
          <w:sz w:val="24"/>
        </w:rPr>
        <w:t>peers.</w:t>
      </w:r>
    </w:p>
    <w:p w:rsidR="00845137" w:rsidRDefault="00181E7E">
      <w:pPr>
        <w:pStyle w:val="ListParagraph"/>
        <w:numPr>
          <w:ilvl w:val="0"/>
          <w:numId w:val="2"/>
        </w:numPr>
        <w:tabs>
          <w:tab w:val="left" w:pos="821"/>
        </w:tabs>
        <w:spacing w:before="158" w:line="259" w:lineRule="auto"/>
        <w:ind w:right="117"/>
        <w:rPr>
          <w:sz w:val="24"/>
        </w:rPr>
      </w:pPr>
      <w:r>
        <w:rPr>
          <w:sz w:val="24"/>
        </w:rPr>
        <w:t xml:space="preserve">6 Years ago, the Joint Learning Network (JLN) was created to offer more opportunities for </w:t>
      </w:r>
      <w:proofErr w:type="spellStart"/>
      <w:r>
        <w:rPr>
          <w:sz w:val="24"/>
        </w:rPr>
        <w:t>coutry</w:t>
      </w:r>
      <w:proofErr w:type="spellEnd"/>
      <w:r>
        <w:rPr>
          <w:sz w:val="24"/>
        </w:rPr>
        <w:t xml:space="preserve"> policy makers and stakeholders to connect with their colleagues in other countries to share best practices and to co-develop solutions based on their experiences especially in LMICs.</w:t>
      </w:r>
    </w:p>
    <w:p w:rsidR="00845137" w:rsidRDefault="00181E7E">
      <w:pPr>
        <w:pStyle w:val="Heading1"/>
        <w:spacing w:before="158"/>
      </w:pPr>
      <w:r>
        <w:t>2 Core Principles</w:t>
      </w:r>
    </w:p>
    <w:p w:rsidR="00845137" w:rsidRDefault="00181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1" w:line="274" w:lineRule="exact"/>
        <w:ind w:right="168"/>
        <w:rPr>
          <w:rFonts w:ascii="Times New Roman"/>
          <w:sz w:val="24"/>
        </w:rPr>
      </w:pPr>
      <w:r>
        <w:rPr>
          <w:rFonts w:ascii="Times New Roman"/>
          <w:sz w:val="24"/>
        </w:rPr>
        <w:t>Country ownership: Willingness to join, set agenda, drive UHC reforms, and actively engage local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stakeholders</w:t>
      </w:r>
    </w:p>
    <w:p w:rsidR="00845137" w:rsidRDefault="00181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right="123"/>
        <w:rPr>
          <w:rFonts w:ascii="Times New Roman"/>
          <w:sz w:val="24"/>
        </w:rPr>
      </w:pPr>
      <w:r>
        <w:rPr>
          <w:rFonts w:ascii="Times New Roman"/>
          <w:sz w:val="24"/>
        </w:rPr>
        <w:t>Joint Learning: Countries teach and learn; joint problem solving lead to innovations for quick common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solutions</w:t>
      </w:r>
    </w:p>
    <w:p w:rsidR="00845137" w:rsidRDefault="00845137">
      <w:pPr>
        <w:pStyle w:val="BodyText"/>
        <w:spacing w:before="5"/>
        <w:ind w:left="0" w:firstLine="0"/>
        <w:rPr>
          <w:rFonts w:ascii="Times New Roman"/>
        </w:rPr>
      </w:pPr>
    </w:p>
    <w:p w:rsidR="00845137" w:rsidRDefault="00181E7E">
      <w:pPr>
        <w:pStyle w:val="Heading1"/>
        <w:rPr>
          <w:b w:val="0"/>
        </w:rPr>
      </w:pPr>
      <w:r>
        <w:t>The JLN Approach</w:t>
      </w:r>
      <w:r>
        <w:rPr>
          <w:b w:val="0"/>
        </w:rPr>
        <w:t>:</w:t>
      </w:r>
    </w:p>
    <w:p w:rsidR="00845137" w:rsidRDefault="00181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6"/>
        <w:ind w:right="180"/>
        <w:rPr>
          <w:b/>
          <w:sz w:val="24"/>
        </w:rPr>
      </w:pPr>
      <w:r>
        <w:rPr>
          <w:sz w:val="24"/>
        </w:rPr>
        <w:t>Using collaborative learning among practitioners to co-develop global knowledge on the practical “how-</w:t>
      </w:r>
      <w:proofErr w:type="spellStart"/>
      <w:r>
        <w:rPr>
          <w:sz w:val="24"/>
        </w:rPr>
        <w:t>to’s</w:t>
      </w:r>
      <w:proofErr w:type="spellEnd"/>
      <w:r>
        <w:rPr>
          <w:sz w:val="24"/>
        </w:rPr>
        <w:t xml:space="preserve">” of achieving UHC- focus on implementation, and on practical advice that has worked in another peer country through </w:t>
      </w:r>
      <w:r>
        <w:rPr>
          <w:b/>
          <w:sz w:val="24"/>
        </w:rPr>
        <w:t>common problem identification &gt; collective problem solving &gt; synthesis of new knowledge &gt; knowledge adapted within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JLN countries &gt; knowledge disseminated to other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countries</w:t>
      </w:r>
    </w:p>
    <w:p w:rsidR="00845137" w:rsidRDefault="00845137">
      <w:pPr>
        <w:pStyle w:val="BodyText"/>
        <w:spacing w:before="11"/>
        <w:ind w:left="0" w:firstLine="0"/>
        <w:rPr>
          <w:sz w:val="23"/>
        </w:rPr>
      </w:pPr>
      <w:bookmarkStart w:id="0" w:name="_GoBack"/>
      <w:bookmarkEnd w:id="0"/>
    </w:p>
    <w:p w:rsidR="00845137" w:rsidRDefault="00181E7E">
      <w:pPr>
        <w:pStyle w:val="Heading1"/>
      </w:pPr>
      <w:r>
        <w:t xml:space="preserve">The JLN functions through Technical Initiatives and </w:t>
      </w:r>
      <w:proofErr w:type="spellStart"/>
      <w:r>
        <w:t>Collaboratives</w:t>
      </w:r>
      <w:proofErr w:type="spellEnd"/>
    </w:p>
    <w:p w:rsidR="00845137" w:rsidRDefault="00181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"/>
        <w:rPr>
          <w:sz w:val="24"/>
        </w:rPr>
      </w:pPr>
      <w:r>
        <w:rPr>
          <w:sz w:val="24"/>
        </w:rPr>
        <w:t>Long-term priorities of the JLN – based on member countries’ knowledge need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priorties</w:t>
      </w:r>
      <w:proofErr w:type="spellEnd"/>
    </w:p>
    <w:p w:rsidR="00845137" w:rsidRDefault="00181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/>
        <w:rPr>
          <w:sz w:val="24"/>
        </w:rPr>
      </w:pPr>
      <w:r>
        <w:rPr>
          <w:sz w:val="24"/>
        </w:rPr>
        <w:t>made up of sub-initiatives, called “</w:t>
      </w:r>
      <w:proofErr w:type="spellStart"/>
      <w:r>
        <w:rPr>
          <w:sz w:val="24"/>
        </w:rPr>
        <w:t>Collaboratives</w:t>
      </w:r>
      <w:proofErr w:type="spellEnd"/>
      <w:r>
        <w:rPr>
          <w:sz w:val="24"/>
        </w:rPr>
        <w:t>” (see</w:t>
      </w:r>
      <w:r>
        <w:rPr>
          <w:spacing w:val="-19"/>
          <w:sz w:val="24"/>
        </w:rPr>
        <w:t xml:space="preserve"> </w:t>
      </w:r>
      <w:r>
        <w:rPr>
          <w:sz w:val="24"/>
        </w:rPr>
        <w:t>below)</w:t>
      </w:r>
    </w:p>
    <w:p w:rsidR="00845137" w:rsidRDefault="00181E7E">
      <w:pPr>
        <w:pStyle w:val="ListParagraph"/>
        <w:numPr>
          <w:ilvl w:val="1"/>
          <w:numId w:val="1"/>
        </w:numPr>
        <w:tabs>
          <w:tab w:val="left" w:pos="1541"/>
        </w:tabs>
        <w:spacing w:before="2" w:line="237" w:lineRule="auto"/>
        <w:ind w:right="113"/>
        <w:rPr>
          <w:sz w:val="24"/>
        </w:rPr>
      </w:pPr>
      <w:r>
        <w:rPr>
          <w:sz w:val="24"/>
        </w:rPr>
        <w:t xml:space="preserve">Technical </w:t>
      </w:r>
      <w:proofErr w:type="spellStart"/>
      <w:r>
        <w:rPr>
          <w:sz w:val="24"/>
        </w:rPr>
        <w:t>Collaboratives</w:t>
      </w:r>
      <w:proofErr w:type="spellEnd"/>
      <w:r>
        <w:rPr>
          <w:sz w:val="24"/>
        </w:rPr>
        <w:t>/Initiatives: Subset of JLN members convene on a specialized topic to exchange experiences/ solutions and co-produce a knowledge product with support from technical facilitators: PHC, IT, Provider Payment Mechanisms, Reaching Target</w:t>
      </w:r>
      <w:r>
        <w:rPr>
          <w:spacing w:val="-4"/>
          <w:sz w:val="24"/>
        </w:rPr>
        <w:t xml:space="preserve"> </w:t>
      </w:r>
      <w:r>
        <w:rPr>
          <w:sz w:val="24"/>
        </w:rPr>
        <w:t>Populations,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Accreditation,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Audit,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Innovative</w:t>
      </w:r>
      <w:r>
        <w:rPr>
          <w:spacing w:val="-4"/>
          <w:sz w:val="24"/>
        </w:rPr>
        <w:t xml:space="preserve"> </w:t>
      </w:r>
      <w:r>
        <w:rPr>
          <w:sz w:val="24"/>
        </w:rPr>
        <w:t>Financing</w:t>
      </w:r>
    </w:p>
    <w:p w:rsidR="00845137" w:rsidRDefault="00845137">
      <w:pPr>
        <w:pStyle w:val="BodyText"/>
        <w:ind w:left="0" w:firstLine="0"/>
      </w:pPr>
    </w:p>
    <w:p w:rsidR="00845137" w:rsidRDefault="00845137">
      <w:pPr>
        <w:pStyle w:val="ListParagraph"/>
        <w:numPr>
          <w:ilvl w:val="2"/>
          <w:numId w:val="1"/>
        </w:numPr>
        <w:tabs>
          <w:tab w:val="left" w:pos="2261"/>
        </w:tabs>
        <w:rPr>
          <w:sz w:val="24"/>
        </w:rPr>
      </w:pPr>
    </w:p>
    <w:p w:rsidR="00845137" w:rsidRDefault="00845137">
      <w:pPr>
        <w:pStyle w:val="BodyText"/>
        <w:ind w:left="0" w:firstLine="0"/>
      </w:pPr>
    </w:p>
    <w:p w:rsidR="00845137" w:rsidRDefault="00181E7E">
      <w:pPr>
        <w:ind w:left="100" w:right="273"/>
        <w:rPr>
          <w:sz w:val="24"/>
        </w:rPr>
      </w:pPr>
      <w:proofErr w:type="gramStart"/>
      <w:r>
        <w:rPr>
          <w:b/>
          <w:sz w:val="24"/>
        </w:rPr>
        <w:t xml:space="preserve">Expanding Membership </w:t>
      </w:r>
      <w:r>
        <w:rPr>
          <w:sz w:val="24"/>
        </w:rPr>
        <w:t>– 27 countries including 11 African, 11 Asian, 3 American and 2 European countries.</w:t>
      </w:r>
      <w:proofErr w:type="gramEnd"/>
    </w:p>
    <w:p w:rsidR="00845137" w:rsidRDefault="00845137">
      <w:pPr>
        <w:pStyle w:val="BodyText"/>
        <w:spacing w:before="11"/>
        <w:ind w:left="0" w:firstLine="0"/>
        <w:rPr>
          <w:sz w:val="23"/>
        </w:rPr>
      </w:pPr>
    </w:p>
    <w:p w:rsidR="00845137" w:rsidRDefault="00181E7E">
      <w:pPr>
        <w:pStyle w:val="Heading1"/>
      </w:pPr>
      <w:r>
        <w:t>Key Benefits of the JLN to Nigeria: Nigeria joined 5 Years ago</w:t>
      </w:r>
    </w:p>
    <w:p w:rsidR="00845137" w:rsidRDefault="00181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  <w:ind w:right="662"/>
        <w:rPr>
          <w:sz w:val="24"/>
        </w:rPr>
      </w:pPr>
      <w:r>
        <w:rPr>
          <w:sz w:val="24"/>
        </w:rPr>
        <w:t>Strong CCG with shared secretariat: FMOH, NHIS, NPHCDA; with a SG Member and Co- Convener; linked to other UHC think-thanks like the HCFE&amp;I</w:t>
      </w:r>
      <w:r>
        <w:rPr>
          <w:spacing w:val="-31"/>
          <w:sz w:val="24"/>
        </w:rPr>
        <w:t xml:space="preserve"> </w:t>
      </w:r>
      <w:r>
        <w:rPr>
          <w:sz w:val="24"/>
        </w:rPr>
        <w:t>TWG</w:t>
      </w:r>
    </w:p>
    <w:p w:rsidR="00845137" w:rsidRDefault="00181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/>
        <w:ind w:right="822"/>
        <w:rPr>
          <w:sz w:val="24"/>
        </w:rPr>
      </w:pPr>
      <w:r>
        <w:rPr>
          <w:sz w:val="24"/>
        </w:rPr>
        <w:t>Great learning opportunity especially from countries in similar situations through the technical initiatives: we are participating in</w:t>
      </w:r>
      <w:r>
        <w:rPr>
          <w:spacing w:val="-18"/>
          <w:sz w:val="24"/>
        </w:rPr>
        <w:t xml:space="preserve"> </w:t>
      </w:r>
      <w:r>
        <w:rPr>
          <w:sz w:val="24"/>
        </w:rPr>
        <w:t>all</w:t>
      </w:r>
    </w:p>
    <w:p w:rsidR="00845137" w:rsidRDefault="00181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/>
        <w:ind w:right="541"/>
        <w:rPr>
          <w:sz w:val="24"/>
        </w:rPr>
      </w:pPr>
      <w:r>
        <w:rPr>
          <w:sz w:val="24"/>
        </w:rPr>
        <w:t>Relevant to Nigeria’s priorities towards UHC: all knowledge topics based on demand expressed and prioritized by members, e. g, Innovative Financing Collaborative; Medical Audit Collaborative,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</w:p>
    <w:p w:rsidR="00845137" w:rsidRDefault="00181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/>
        <w:ind w:right="123"/>
        <w:rPr>
          <w:sz w:val="24"/>
        </w:rPr>
      </w:pPr>
      <w:r>
        <w:rPr>
          <w:sz w:val="24"/>
        </w:rPr>
        <w:t>Leveraging cross-country space to analyze root causes, through a homogenous environment that builds trust, safe space, and community</w:t>
      </w:r>
      <w:r>
        <w:rPr>
          <w:spacing w:val="-28"/>
          <w:sz w:val="24"/>
        </w:rPr>
        <w:t xml:space="preserve"> </w:t>
      </w:r>
      <w:r>
        <w:rPr>
          <w:sz w:val="24"/>
        </w:rPr>
        <w:t>participation</w:t>
      </w:r>
    </w:p>
    <w:p w:rsidR="00845137" w:rsidRDefault="00181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 w:line="242" w:lineRule="auto"/>
        <w:ind w:right="597"/>
        <w:rPr>
          <w:sz w:val="24"/>
        </w:rPr>
      </w:pPr>
      <w:r>
        <w:rPr>
          <w:sz w:val="24"/>
        </w:rPr>
        <w:t>Leveraged results of practical tools/knowledge products that have been shared and are being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</w:p>
    <w:p w:rsidR="00845137" w:rsidRDefault="00181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"/>
        <w:ind w:right="695"/>
        <w:rPr>
          <w:sz w:val="24"/>
        </w:rPr>
      </w:pPr>
      <w:r>
        <w:rPr>
          <w:sz w:val="24"/>
        </w:rPr>
        <w:t>Created good opportunities for responsive follow-up by partners on Nigeria’s progress towards</w:t>
      </w:r>
      <w:r>
        <w:rPr>
          <w:spacing w:val="-5"/>
          <w:sz w:val="24"/>
        </w:rPr>
        <w:t xml:space="preserve"> </w:t>
      </w:r>
      <w:r>
        <w:rPr>
          <w:sz w:val="24"/>
        </w:rPr>
        <w:t>UHC</w:t>
      </w:r>
    </w:p>
    <w:sectPr w:rsidR="00845137">
      <w:pgSz w:w="11910" w:h="16840"/>
      <w:pgMar w:top="134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8FF"/>
    <w:multiLevelType w:val="hybridMultilevel"/>
    <w:tmpl w:val="2CC4BF98"/>
    <w:lvl w:ilvl="0" w:tplc="A0821FB4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9E62C3C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C71060FE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51AEF858">
      <w:numFmt w:val="bullet"/>
      <w:lvlText w:val="•"/>
      <w:lvlJc w:val="left"/>
      <w:pPr>
        <w:ind w:left="3218" w:hanging="360"/>
      </w:pPr>
      <w:rPr>
        <w:rFonts w:hint="default"/>
      </w:rPr>
    </w:lvl>
    <w:lvl w:ilvl="4" w:tplc="FF5AECB4"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343663B8"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E076B8E8"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21F40152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ED6623E2">
      <w:numFmt w:val="bullet"/>
      <w:lvlText w:val="•"/>
      <w:lvlJc w:val="left"/>
      <w:pPr>
        <w:ind w:left="8009" w:hanging="360"/>
      </w:pPr>
      <w:rPr>
        <w:rFonts w:hint="default"/>
      </w:rPr>
    </w:lvl>
  </w:abstractNum>
  <w:abstractNum w:abstractNumId="1">
    <w:nsid w:val="76892AD0"/>
    <w:multiLevelType w:val="hybridMultilevel"/>
    <w:tmpl w:val="608AEAF0"/>
    <w:lvl w:ilvl="0" w:tplc="9D94C714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034931E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4E709FC2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7068AA8"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D904143A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32009664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19A89910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65EEEF86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AF249B48">
      <w:numFmt w:val="bullet"/>
      <w:lvlText w:val="•"/>
      <w:lvlJc w:val="left"/>
      <w:pPr>
        <w:ind w:left="810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37"/>
    <w:rsid w:val="00181E7E"/>
    <w:rsid w:val="004B286D"/>
    <w:rsid w:val="0084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8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E7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E7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8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E7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E7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Francis Ukwuije</dc:creator>
  <cp:lastModifiedBy>SCHLEIMANN, Finn</cp:lastModifiedBy>
  <cp:revision>2</cp:revision>
  <dcterms:created xsi:type="dcterms:W3CDTF">2016-12-02T13:47:00Z</dcterms:created>
  <dcterms:modified xsi:type="dcterms:W3CDTF">2016-12-02T13:47:00Z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2016-11-15T00:00:00Z</vt:filetime>
  </property>
</Properties>
</file>