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04FE5" w14:textId="0AEE4ED9" w:rsidR="00642510" w:rsidRPr="00D27EA1" w:rsidRDefault="00642510" w:rsidP="00BA79F9">
      <w:pPr>
        <w:spacing w:after="0"/>
        <w:jc w:val="center"/>
        <w:rPr>
          <w:b/>
          <w:bCs/>
          <w:sz w:val="28"/>
          <w:szCs w:val="28"/>
          <w:lang w:val="fr-FR"/>
        </w:rPr>
      </w:pPr>
      <w:r w:rsidRPr="00D27EA1">
        <w:rPr>
          <w:b/>
          <w:bCs/>
          <w:sz w:val="28"/>
          <w:szCs w:val="28"/>
          <w:lang w:val="fr-FR"/>
        </w:rPr>
        <w:t xml:space="preserve">Renforcer la redevabilité mutuelle pour améliorer l’efficacité </w:t>
      </w:r>
      <w:r w:rsidR="00DB1C9B" w:rsidRPr="00D27EA1">
        <w:rPr>
          <w:b/>
          <w:bCs/>
          <w:sz w:val="28"/>
          <w:szCs w:val="28"/>
          <w:lang w:val="fr-FR"/>
        </w:rPr>
        <w:t xml:space="preserve">et les résultats </w:t>
      </w:r>
      <w:r w:rsidRPr="00D27EA1">
        <w:rPr>
          <w:b/>
          <w:bCs/>
          <w:sz w:val="28"/>
          <w:szCs w:val="28"/>
          <w:lang w:val="fr-FR"/>
        </w:rPr>
        <w:t xml:space="preserve">de l’aide pour la santé: consultation avec les partenaires </w:t>
      </w:r>
      <w:proofErr w:type="gramStart"/>
      <w:r w:rsidRPr="00D27EA1">
        <w:rPr>
          <w:b/>
          <w:bCs/>
          <w:sz w:val="28"/>
          <w:szCs w:val="28"/>
          <w:lang w:val="fr-FR"/>
        </w:rPr>
        <w:t>du IHP</w:t>
      </w:r>
      <w:proofErr w:type="gramEnd"/>
      <w:r w:rsidRPr="00D27EA1">
        <w:rPr>
          <w:b/>
          <w:bCs/>
          <w:sz w:val="28"/>
          <w:szCs w:val="28"/>
          <w:lang w:val="fr-FR"/>
        </w:rPr>
        <w:t xml:space="preserve">+ sur les options </w:t>
      </w:r>
      <w:r w:rsidR="00DB1C9B" w:rsidRPr="00D27EA1">
        <w:rPr>
          <w:b/>
          <w:bCs/>
          <w:sz w:val="28"/>
          <w:szCs w:val="28"/>
          <w:lang w:val="fr-FR"/>
        </w:rPr>
        <w:t xml:space="preserve">relatives </w:t>
      </w:r>
      <w:r w:rsidR="00F35695">
        <w:rPr>
          <w:b/>
          <w:bCs/>
          <w:sz w:val="28"/>
          <w:szCs w:val="28"/>
          <w:lang w:val="fr-FR"/>
        </w:rPr>
        <w:t>au futur</w:t>
      </w:r>
      <w:r w:rsidR="00DB1C9B" w:rsidRPr="00D27EA1">
        <w:rPr>
          <w:b/>
          <w:bCs/>
          <w:sz w:val="28"/>
          <w:szCs w:val="28"/>
          <w:lang w:val="fr-FR"/>
        </w:rPr>
        <w:t xml:space="preserve"> du</w:t>
      </w:r>
      <w:r w:rsidRPr="00D27EA1">
        <w:rPr>
          <w:b/>
          <w:bCs/>
          <w:sz w:val="28"/>
          <w:szCs w:val="28"/>
          <w:lang w:val="fr-FR"/>
        </w:rPr>
        <w:t xml:space="preserve"> </w:t>
      </w:r>
      <w:r w:rsidR="003E4048" w:rsidRPr="00D27EA1">
        <w:rPr>
          <w:b/>
          <w:bCs/>
          <w:sz w:val="28"/>
          <w:szCs w:val="28"/>
          <w:lang w:val="fr-FR"/>
        </w:rPr>
        <w:t>suivi</w:t>
      </w:r>
      <w:r w:rsidRPr="00D27EA1">
        <w:rPr>
          <w:b/>
          <w:bCs/>
          <w:sz w:val="28"/>
          <w:szCs w:val="28"/>
          <w:lang w:val="fr-FR"/>
        </w:rPr>
        <w:t xml:space="preserve"> </w:t>
      </w:r>
    </w:p>
    <w:p w14:paraId="73CABF84" w14:textId="77777777" w:rsidR="009C7B0E" w:rsidRPr="00D27EA1" w:rsidRDefault="009C7B0E" w:rsidP="00C52BC8">
      <w:pPr>
        <w:spacing w:after="0"/>
        <w:rPr>
          <w:i/>
          <w:iCs/>
          <w:lang w:val="fr-FR"/>
        </w:rPr>
      </w:pPr>
    </w:p>
    <w:p w14:paraId="4D854A23" w14:textId="4B6401DF" w:rsidR="00642510" w:rsidRPr="00D27EA1" w:rsidRDefault="00BC2B3B" w:rsidP="00C52BC8">
      <w:pPr>
        <w:spacing w:after="0"/>
        <w:rPr>
          <w:i/>
          <w:iCs/>
          <w:lang w:val="fr-FR"/>
        </w:rPr>
      </w:pPr>
      <w:r w:rsidRPr="00D27EA1">
        <w:rPr>
          <w:i/>
          <w:iCs/>
          <w:lang w:val="fr-FR"/>
        </w:rPr>
        <w:t xml:space="preserve">L’objectif de cette note est </w:t>
      </w:r>
      <w:r w:rsidR="003E4048" w:rsidRPr="00D27EA1">
        <w:rPr>
          <w:i/>
          <w:iCs/>
          <w:lang w:val="fr-FR"/>
        </w:rPr>
        <w:t xml:space="preserve">d’obtenir </w:t>
      </w:r>
      <w:r w:rsidR="003E4048" w:rsidRPr="00D27EA1">
        <w:rPr>
          <w:b/>
          <w:i/>
          <w:iCs/>
          <w:lang w:val="fr-FR"/>
        </w:rPr>
        <w:t>l’avis</w:t>
      </w:r>
      <w:r w:rsidR="00262570" w:rsidRPr="00D27EA1">
        <w:rPr>
          <w:b/>
          <w:i/>
          <w:iCs/>
          <w:lang w:val="fr-FR"/>
        </w:rPr>
        <w:t xml:space="preserve"> du plus grand nombre possible </w:t>
      </w:r>
      <w:r w:rsidRPr="00D27EA1">
        <w:rPr>
          <w:b/>
          <w:i/>
          <w:iCs/>
          <w:lang w:val="fr-FR"/>
        </w:rPr>
        <w:t xml:space="preserve">de </w:t>
      </w:r>
      <w:r w:rsidR="003E4048" w:rsidRPr="00D27EA1">
        <w:rPr>
          <w:b/>
          <w:i/>
          <w:iCs/>
          <w:lang w:val="fr-FR"/>
        </w:rPr>
        <w:t>signataires du IHP+</w:t>
      </w:r>
      <w:r w:rsidR="003E4048" w:rsidRPr="00D27EA1">
        <w:rPr>
          <w:i/>
          <w:iCs/>
          <w:lang w:val="fr-FR"/>
        </w:rPr>
        <w:t xml:space="preserve"> sur d</w:t>
      </w:r>
      <w:r w:rsidRPr="00D27EA1">
        <w:rPr>
          <w:i/>
          <w:iCs/>
          <w:lang w:val="fr-FR"/>
        </w:rPr>
        <w:t xml:space="preserve">es questions </w:t>
      </w:r>
      <w:r w:rsidR="003E4048" w:rsidRPr="00D27EA1">
        <w:rPr>
          <w:i/>
          <w:iCs/>
          <w:lang w:val="fr-FR"/>
        </w:rPr>
        <w:t>ayant trait au futur</w:t>
      </w:r>
      <w:r w:rsidRPr="00D27EA1">
        <w:rPr>
          <w:i/>
          <w:iCs/>
          <w:lang w:val="fr-FR"/>
        </w:rPr>
        <w:t xml:space="preserve"> suivi </w:t>
      </w:r>
      <w:r w:rsidR="00426403" w:rsidRPr="00D27EA1">
        <w:rPr>
          <w:i/>
          <w:iCs/>
          <w:lang w:val="fr-FR"/>
        </w:rPr>
        <w:t xml:space="preserve">de l’efficacité </w:t>
      </w:r>
      <w:r w:rsidR="00262570" w:rsidRPr="00D27EA1">
        <w:rPr>
          <w:i/>
          <w:iCs/>
          <w:lang w:val="fr-FR"/>
        </w:rPr>
        <w:t xml:space="preserve">et des résultats </w:t>
      </w:r>
      <w:r w:rsidR="00426403" w:rsidRPr="00D27EA1">
        <w:rPr>
          <w:i/>
          <w:iCs/>
          <w:lang w:val="fr-FR"/>
        </w:rPr>
        <w:t>de l’aide pour la santé</w:t>
      </w:r>
      <w:r w:rsidR="00A14201" w:rsidRPr="00D27EA1">
        <w:rPr>
          <w:i/>
          <w:iCs/>
          <w:lang w:val="fr-FR"/>
        </w:rPr>
        <w:t>,</w:t>
      </w:r>
      <w:r w:rsidR="00426403" w:rsidRPr="00D27EA1">
        <w:rPr>
          <w:i/>
          <w:iCs/>
          <w:lang w:val="fr-FR"/>
        </w:rPr>
        <w:t xml:space="preserve"> </w:t>
      </w:r>
      <w:r w:rsidR="00262570" w:rsidRPr="00D27EA1">
        <w:rPr>
          <w:i/>
          <w:iCs/>
          <w:lang w:val="fr-FR"/>
        </w:rPr>
        <w:t>au</w:t>
      </w:r>
      <w:r w:rsidR="003E4048" w:rsidRPr="00D27EA1">
        <w:rPr>
          <w:i/>
          <w:iCs/>
          <w:lang w:val="fr-FR"/>
        </w:rPr>
        <w:t xml:space="preserve">quel le IHP+ donnera son appui. La note fournit des informations </w:t>
      </w:r>
      <w:r w:rsidR="00262570" w:rsidRPr="00D27EA1">
        <w:rPr>
          <w:i/>
          <w:iCs/>
          <w:lang w:val="fr-FR"/>
        </w:rPr>
        <w:t>contextuelles</w:t>
      </w:r>
      <w:r w:rsidR="003E4048" w:rsidRPr="00D27EA1">
        <w:rPr>
          <w:i/>
          <w:iCs/>
          <w:lang w:val="fr-FR"/>
        </w:rPr>
        <w:t xml:space="preserve"> et pose trois questions. </w:t>
      </w:r>
      <w:r w:rsidR="002F056A" w:rsidRPr="00D27EA1">
        <w:rPr>
          <w:b/>
          <w:i/>
          <w:iCs/>
          <w:lang w:val="fr-FR"/>
        </w:rPr>
        <w:t xml:space="preserve">Les réponses sont attendues d’ici </w:t>
      </w:r>
      <w:proofErr w:type="gramStart"/>
      <w:r w:rsidR="000451E1">
        <w:rPr>
          <w:b/>
          <w:i/>
          <w:iCs/>
          <w:lang w:val="fr-FR"/>
        </w:rPr>
        <w:t>le</w:t>
      </w:r>
      <w:r w:rsidR="000451E1" w:rsidRPr="00D27EA1">
        <w:rPr>
          <w:b/>
          <w:i/>
          <w:iCs/>
          <w:lang w:val="fr-FR"/>
        </w:rPr>
        <w:t xml:space="preserve"> 1</w:t>
      </w:r>
      <w:r w:rsidR="000451E1">
        <w:rPr>
          <w:b/>
          <w:i/>
          <w:iCs/>
          <w:lang w:val="fr-FR"/>
        </w:rPr>
        <w:t>2</w:t>
      </w:r>
      <w:r w:rsidR="000451E1" w:rsidRPr="00D27EA1">
        <w:rPr>
          <w:b/>
          <w:i/>
          <w:iCs/>
          <w:lang w:val="fr-FR"/>
        </w:rPr>
        <w:t xml:space="preserve"> </w:t>
      </w:r>
      <w:r w:rsidR="002F056A" w:rsidRPr="00D27EA1">
        <w:rPr>
          <w:b/>
          <w:i/>
          <w:iCs/>
          <w:lang w:val="fr-FR"/>
        </w:rPr>
        <w:t>novembre</w:t>
      </w:r>
      <w:proofErr w:type="gramEnd"/>
      <w:r w:rsidR="002F056A" w:rsidRPr="00D27EA1">
        <w:rPr>
          <w:i/>
          <w:iCs/>
          <w:lang w:val="fr-FR"/>
        </w:rPr>
        <w:t xml:space="preserve">, et seront utilisées pour formuler </w:t>
      </w:r>
      <w:r w:rsidR="002F056A" w:rsidRPr="00D27EA1">
        <w:rPr>
          <w:b/>
          <w:i/>
          <w:iCs/>
          <w:lang w:val="fr-FR"/>
        </w:rPr>
        <w:t xml:space="preserve">la proposition </w:t>
      </w:r>
      <w:r w:rsidR="00262570" w:rsidRPr="00D27EA1">
        <w:rPr>
          <w:b/>
          <w:i/>
          <w:iCs/>
          <w:lang w:val="fr-FR"/>
        </w:rPr>
        <w:t xml:space="preserve">sur </w:t>
      </w:r>
      <w:r w:rsidR="00F35695">
        <w:rPr>
          <w:b/>
          <w:i/>
          <w:iCs/>
          <w:lang w:val="fr-FR"/>
        </w:rPr>
        <w:t>le futur</w:t>
      </w:r>
      <w:r w:rsidR="000451E1">
        <w:rPr>
          <w:b/>
          <w:i/>
          <w:iCs/>
          <w:lang w:val="fr-FR"/>
        </w:rPr>
        <w:t xml:space="preserve"> du suivi.</w:t>
      </w:r>
      <w:r w:rsidR="00262570" w:rsidRPr="00D27EA1">
        <w:rPr>
          <w:i/>
          <w:iCs/>
          <w:lang w:val="fr-FR"/>
        </w:rPr>
        <w:t xml:space="preserve"> </w:t>
      </w:r>
      <w:r w:rsidR="00A14201" w:rsidRPr="00D27EA1">
        <w:rPr>
          <w:i/>
          <w:iCs/>
          <w:lang w:val="fr-FR"/>
        </w:rPr>
        <w:t>Cette dernière</w:t>
      </w:r>
      <w:r w:rsidR="00262570" w:rsidRPr="00D27EA1">
        <w:rPr>
          <w:i/>
          <w:iCs/>
          <w:lang w:val="fr-FR"/>
        </w:rPr>
        <w:t xml:space="preserve"> sera envoyée à tous les signataires du IHP+ vers la mi-novembre. </w:t>
      </w:r>
      <w:r w:rsidR="009E320B" w:rsidRPr="00D27EA1">
        <w:rPr>
          <w:i/>
          <w:iCs/>
          <w:lang w:val="fr-FR"/>
        </w:rPr>
        <w:t>Ceci laissera le temps</w:t>
      </w:r>
      <w:r w:rsidR="00D21395" w:rsidRPr="00D27EA1">
        <w:rPr>
          <w:i/>
          <w:iCs/>
          <w:lang w:val="fr-FR"/>
        </w:rPr>
        <w:t xml:space="preserve"> à chacun</w:t>
      </w:r>
      <w:r w:rsidR="009E320B" w:rsidRPr="00D27EA1">
        <w:rPr>
          <w:i/>
          <w:iCs/>
          <w:lang w:val="fr-FR"/>
        </w:rPr>
        <w:t xml:space="preserve"> </w:t>
      </w:r>
      <w:r w:rsidR="009E320B" w:rsidRPr="00D27EA1">
        <w:rPr>
          <w:b/>
          <w:i/>
          <w:iCs/>
          <w:lang w:val="fr-FR"/>
        </w:rPr>
        <w:t>d’examiner cette proposition avant</w:t>
      </w:r>
      <w:r w:rsidR="00D1441F" w:rsidRPr="00D27EA1">
        <w:rPr>
          <w:b/>
          <w:i/>
          <w:iCs/>
          <w:lang w:val="fr-FR"/>
        </w:rPr>
        <w:t xml:space="preserve"> la</w:t>
      </w:r>
      <w:r w:rsidR="009E320B" w:rsidRPr="00D27EA1">
        <w:rPr>
          <w:b/>
          <w:i/>
          <w:iCs/>
          <w:lang w:val="fr-FR"/>
        </w:rPr>
        <w:t xml:space="preserve"> </w:t>
      </w:r>
      <w:r w:rsidR="00D1441F" w:rsidRPr="00D27EA1">
        <w:rPr>
          <w:b/>
          <w:i/>
          <w:iCs/>
          <w:lang w:val="fr-FR"/>
        </w:rPr>
        <w:t>quatrième Réunion des équipes chargées du secteur de la santé dans les pays dans le cadre du IHP+ à Nairobi</w:t>
      </w:r>
      <w:r w:rsidR="00D1441F" w:rsidRPr="00D27EA1">
        <w:rPr>
          <w:i/>
          <w:iCs/>
          <w:lang w:val="fr-FR"/>
        </w:rPr>
        <w:t>, durant laquelle une session spéciale de tous les partenaires</w:t>
      </w:r>
      <w:r w:rsidR="00D21395" w:rsidRPr="00D27EA1">
        <w:rPr>
          <w:i/>
          <w:iCs/>
          <w:lang w:val="fr-FR"/>
        </w:rPr>
        <w:t xml:space="preserve"> sera </w:t>
      </w:r>
      <w:r w:rsidR="00412246" w:rsidRPr="00D27EA1">
        <w:rPr>
          <w:i/>
          <w:iCs/>
          <w:lang w:val="fr-FR"/>
        </w:rPr>
        <w:t>organisée</w:t>
      </w:r>
      <w:r w:rsidR="00D1441F" w:rsidRPr="00D27EA1">
        <w:rPr>
          <w:i/>
          <w:iCs/>
          <w:lang w:val="fr-FR"/>
        </w:rPr>
        <w:t xml:space="preserve"> afin de convenir des principes et grandes lignes d’une approche pour le futur </w:t>
      </w:r>
      <w:r w:rsidR="00F35695">
        <w:rPr>
          <w:i/>
          <w:iCs/>
          <w:lang w:val="fr-FR"/>
        </w:rPr>
        <w:t xml:space="preserve">du </w:t>
      </w:r>
      <w:r w:rsidR="00D1441F" w:rsidRPr="00D27EA1">
        <w:rPr>
          <w:i/>
          <w:iCs/>
          <w:lang w:val="fr-FR"/>
        </w:rPr>
        <w:t xml:space="preserve">suivi. </w:t>
      </w:r>
    </w:p>
    <w:p w14:paraId="6BE765D5" w14:textId="77777777" w:rsidR="00957C1D" w:rsidRPr="00D27EA1" w:rsidRDefault="00957C1D" w:rsidP="00A55D9F">
      <w:pPr>
        <w:spacing w:after="0" w:line="240" w:lineRule="auto"/>
        <w:rPr>
          <w:b/>
          <w:lang w:val="fr-FR"/>
        </w:rPr>
      </w:pPr>
    </w:p>
    <w:p w14:paraId="66F6517F" w14:textId="56A8B3D5" w:rsidR="00412246" w:rsidRPr="00D27EA1" w:rsidRDefault="009F5696" w:rsidP="00A55D9F">
      <w:pPr>
        <w:spacing w:after="120" w:line="240" w:lineRule="auto"/>
        <w:rPr>
          <w:b/>
          <w:sz w:val="24"/>
          <w:szCs w:val="24"/>
          <w:lang w:val="fr-FR"/>
        </w:rPr>
      </w:pPr>
      <w:r w:rsidRPr="00D27EA1">
        <w:rPr>
          <w:b/>
          <w:sz w:val="24"/>
          <w:szCs w:val="24"/>
          <w:lang w:val="fr-FR"/>
        </w:rPr>
        <w:t>Où en sommes-nous ?</w:t>
      </w:r>
      <w:r w:rsidR="004C21AE" w:rsidRPr="00D27EA1">
        <w:rPr>
          <w:b/>
          <w:sz w:val="24"/>
          <w:szCs w:val="24"/>
          <w:lang w:val="fr-FR"/>
        </w:rPr>
        <w:t xml:space="preserve"> L’approche utilisée pour le suivi de la performance des partenaires du IHP+ jusqu’en 2012</w:t>
      </w:r>
    </w:p>
    <w:p w14:paraId="0FC83C2B" w14:textId="2024EE52" w:rsidR="004C21AE" w:rsidRPr="00D27EA1" w:rsidRDefault="004C21AE" w:rsidP="00BE507B">
      <w:pPr>
        <w:spacing w:line="240" w:lineRule="auto"/>
        <w:rPr>
          <w:lang w:val="fr-FR"/>
        </w:rPr>
      </w:pPr>
      <w:r w:rsidRPr="00D27EA1">
        <w:rPr>
          <w:lang w:val="fr-FR"/>
        </w:rPr>
        <w:t xml:space="preserve">Tous les </w:t>
      </w:r>
      <w:r w:rsidR="00D015D4" w:rsidRPr="00D27EA1">
        <w:rPr>
          <w:lang w:val="fr-FR"/>
        </w:rPr>
        <w:t>signataires</w:t>
      </w:r>
      <w:r w:rsidRPr="00D27EA1">
        <w:rPr>
          <w:lang w:val="fr-FR"/>
        </w:rPr>
        <w:t xml:space="preserve"> du</w:t>
      </w:r>
      <w:r w:rsidR="00D015D4" w:rsidRPr="00D27EA1">
        <w:rPr>
          <w:lang w:val="fr-FR"/>
        </w:rPr>
        <w:t xml:space="preserve"> Pacte mondial</w:t>
      </w:r>
      <w:r w:rsidRPr="00D27EA1">
        <w:rPr>
          <w:lang w:val="fr-FR"/>
        </w:rPr>
        <w:t xml:space="preserve"> IHP+ </w:t>
      </w:r>
      <w:r w:rsidR="00185ECA" w:rsidRPr="00D27EA1">
        <w:rPr>
          <w:lang w:val="fr-FR"/>
        </w:rPr>
        <w:t>se sont engagés à être redevable</w:t>
      </w:r>
      <w:r w:rsidR="00A14201" w:rsidRPr="00D27EA1">
        <w:rPr>
          <w:lang w:val="fr-FR"/>
        </w:rPr>
        <w:t>s</w:t>
      </w:r>
      <w:r w:rsidR="00185ECA" w:rsidRPr="00D27EA1">
        <w:rPr>
          <w:lang w:val="fr-FR"/>
        </w:rPr>
        <w:t xml:space="preserve"> par le biais d’un mécanisme indépendant (voir l’encadré 1). L’objectif de ce suivi est </w:t>
      </w:r>
      <w:r w:rsidR="00002EAE" w:rsidRPr="00D27EA1">
        <w:rPr>
          <w:lang w:val="fr-FR"/>
        </w:rPr>
        <w:t>de renforcer</w:t>
      </w:r>
      <w:r w:rsidR="00185ECA" w:rsidRPr="00D27EA1">
        <w:rPr>
          <w:lang w:val="fr-FR"/>
        </w:rPr>
        <w:t xml:space="preserve"> la redevabilité mutuelle pour les résultats.</w:t>
      </w:r>
    </w:p>
    <w:p w14:paraId="30A92886" w14:textId="23547E79" w:rsidR="000B370D" w:rsidRPr="00D27EA1" w:rsidRDefault="00185ECA" w:rsidP="00D27EA1">
      <w:pPr>
        <w:spacing w:after="0" w:line="240" w:lineRule="auto"/>
        <w:ind w:firstLine="360"/>
        <w:outlineLvl w:val="0"/>
        <w:rPr>
          <w:b/>
          <w:sz w:val="20"/>
          <w:szCs w:val="20"/>
          <w:lang w:val="fr-FR"/>
        </w:rPr>
      </w:pPr>
      <w:r w:rsidRPr="00D27EA1">
        <w:rPr>
          <w:b/>
          <w:sz w:val="20"/>
          <w:szCs w:val="20"/>
          <w:lang w:val="fr-FR"/>
        </w:rPr>
        <w:t xml:space="preserve">Encadré </w:t>
      </w:r>
      <w:r w:rsidR="007811C2" w:rsidRPr="00D27EA1">
        <w:rPr>
          <w:b/>
          <w:sz w:val="20"/>
          <w:szCs w:val="20"/>
          <w:lang w:val="fr-FR"/>
        </w:rPr>
        <w:t xml:space="preserve">1. </w:t>
      </w:r>
      <w:r w:rsidRPr="00D27EA1">
        <w:rPr>
          <w:b/>
          <w:sz w:val="20"/>
          <w:szCs w:val="20"/>
          <w:lang w:val="fr-FR"/>
        </w:rPr>
        <w:t xml:space="preserve">Les engagements du Pacte mondial </w:t>
      </w:r>
      <w:r w:rsidR="000B370D" w:rsidRPr="00D27EA1">
        <w:rPr>
          <w:b/>
          <w:sz w:val="20"/>
          <w:szCs w:val="20"/>
          <w:lang w:val="fr-FR"/>
        </w:rPr>
        <w:t xml:space="preserve">IHP+ </w:t>
      </w:r>
    </w:p>
    <w:p w14:paraId="64846030" w14:textId="7B84B13C" w:rsidR="00A55D9F" w:rsidRPr="00D27EA1" w:rsidRDefault="00A55D9F" w:rsidP="00A55D9F">
      <w:pPr>
        <w:pBdr>
          <w:top w:val="single" w:sz="4" w:space="1" w:color="auto"/>
          <w:bottom w:val="single" w:sz="4" w:space="1" w:color="auto"/>
        </w:pBdr>
        <w:shd w:val="clear" w:color="auto" w:fill="F2F2F2" w:themeFill="background1" w:themeFillShade="F2"/>
        <w:spacing w:after="0" w:line="240" w:lineRule="auto"/>
        <w:rPr>
          <w:i/>
          <w:sz w:val="20"/>
          <w:szCs w:val="20"/>
          <w:lang w:val="fr-FR"/>
        </w:rPr>
      </w:pPr>
      <w:r w:rsidRPr="00D27EA1">
        <w:rPr>
          <w:i/>
          <w:sz w:val="20"/>
          <w:szCs w:val="20"/>
          <w:lang w:val="fr-FR"/>
        </w:rPr>
        <w:t>P2: “</w:t>
      </w:r>
      <w:r w:rsidR="00B31C6C" w:rsidRPr="00D27EA1">
        <w:rPr>
          <w:i/>
          <w:sz w:val="20"/>
          <w:szCs w:val="20"/>
          <w:lang w:val="fr-FR"/>
        </w:rPr>
        <w:t>Nous nous</w:t>
      </w:r>
      <w:r w:rsidR="0018508D" w:rsidRPr="00D27EA1">
        <w:rPr>
          <w:i/>
          <w:sz w:val="20"/>
          <w:szCs w:val="20"/>
          <w:lang w:val="fr-FR"/>
        </w:rPr>
        <w:t xml:space="preserve"> engageons collectivement à être redevable</w:t>
      </w:r>
      <w:r w:rsidR="00A14201" w:rsidRPr="00D27EA1">
        <w:rPr>
          <w:i/>
          <w:sz w:val="20"/>
          <w:szCs w:val="20"/>
          <w:lang w:val="fr-FR"/>
        </w:rPr>
        <w:t>s</w:t>
      </w:r>
      <w:r w:rsidR="0018508D" w:rsidRPr="00D27EA1">
        <w:rPr>
          <w:i/>
          <w:sz w:val="20"/>
          <w:szCs w:val="20"/>
          <w:lang w:val="fr-FR"/>
        </w:rPr>
        <w:t xml:space="preserve"> pour la mise en œuvre de ce pacte</w:t>
      </w:r>
      <w:r w:rsidRPr="00D27EA1">
        <w:rPr>
          <w:i/>
          <w:sz w:val="20"/>
          <w:szCs w:val="20"/>
          <w:lang w:val="fr-FR"/>
        </w:rPr>
        <w:t>”</w:t>
      </w:r>
    </w:p>
    <w:p w14:paraId="456B0487" w14:textId="348EE849" w:rsidR="00A55D9F" w:rsidRPr="00D27EA1" w:rsidRDefault="00A55D9F" w:rsidP="00A55D9F">
      <w:pPr>
        <w:pBdr>
          <w:top w:val="single" w:sz="4" w:space="1" w:color="auto"/>
          <w:bottom w:val="single" w:sz="4" w:space="1" w:color="auto"/>
        </w:pBdr>
        <w:shd w:val="clear" w:color="auto" w:fill="F2F2F2" w:themeFill="background1" w:themeFillShade="F2"/>
        <w:spacing w:after="0" w:line="240" w:lineRule="auto"/>
        <w:rPr>
          <w:i/>
          <w:sz w:val="20"/>
          <w:szCs w:val="20"/>
          <w:lang w:val="fr-FR"/>
        </w:rPr>
      </w:pPr>
      <w:r w:rsidRPr="00D27EA1">
        <w:rPr>
          <w:i/>
          <w:sz w:val="20"/>
          <w:szCs w:val="20"/>
          <w:lang w:val="fr-FR"/>
        </w:rPr>
        <w:t>P5: “</w:t>
      </w:r>
      <w:r w:rsidR="0018508D" w:rsidRPr="00D27EA1">
        <w:rPr>
          <w:i/>
          <w:sz w:val="20"/>
          <w:szCs w:val="20"/>
          <w:lang w:val="fr-FR"/>
        </w:rPr>
        <w:t xml:space="preserve">Nous demandons une évaluation </w:t>
      </w:r>
      <w:r w:rsidR="00B31C6C" w:rsidRPr="00D27EA1">
        <w:rPr>
          <w:i/>
          <w:sz w:val="20"/>
          <w:szCs w:val="20"/>
          <w:lang w:val="fr-FR"/>
        </w:rPr>
        <w:t>indépendante et fondée sur les preuves des résultats au niveau national et de la performance de chacun d’entre nous individuellement ainsi que collectivement</w:t>
      </w:r>
      <w:r w:rsidRPr="00D27EA1">
        <w:rPr>
          <w:i/>
          <w:sz w:val="20"/>
          <w:szCs w:val="20"/>
          <w:lang w:val="fr-FR"/>
        </w:rPr>
        <w:t>”</w:t>
      </w:r>
    </w:p>
    <w:p w14:paraId="359988E2" w14:textId="77777777" w:rsidR="00A55D9F" w:rsidRPr="00D27EA1" w:rsidRDefault="00A55D9F" w:rsidP="00DD3248">
      <w:pPr>
        <w:spacing w:after="0" w:line="240" w:lineRule="auto"/>
        <w:rPr>
          <w:lang w:val="fr-FR"/>
        </w:rPr>
      </w:pPr>
    </w:p>
    <w:p w14:paraId="332D118F" w14:textId="77506CC7" w:rsidR="00B31C6C" w:rsidRPr="00D27EA1" w:rsidRDefault="00B31C6C" w:rsidP="004825C1">
      <w:pPr>
        <w:spacing w:line="240" w:lineRule="auto"/>
        <w:rPr>
          <w:lang w:val="fr-FR"/>
        </w:rPr>
      </w:pPr>
      <w:r w:rsidRPr="00D27EA1">
        <w:rPr>
          <w:lang w:val="fr-FR"/>
        </w:rPr>
        <w:t xml:space="preserve">Pour remplir cet engagement, un </w:t>
      </w:r>
      <w:r w:rsidR="00B908FA" w:rsidRPr="00D27EA1">
        <w:rPr>
          <w:lang w:val="fr-FR"/>
        </w:rPr>
        <w:t xml:space="preserve">contrat a été établi en 2008 avec </w:t>
      </w:r>
      <w:r w:rsidR="00A462F3" w:rsidRPr="00D27EA1">
        <w:rPr>
          <w:lang w:val="fr-FR"/>
        </w:rPr>
        <w:t xml:space="preserve">un </w:t>
      </w:r>
      <w:r w:rsidR="00B908FA" w:rsidRPr="00D27EA1">
        <w:rPr>
          <w:lang w:val="fr-FR"/>
        </w:rPr>
        <w:t xml:space="preserve">consortium indépendant appelé </w:t>
      </w:r>
      <w:proofErr w:type="spellStart"/>
      <w:r w:rsidR="00B908FA" w:rsidRPr="00D27EA1">
        <w:rPr>
          <w:i/>
          <w:lang w:val="fr-FR"/>
        </w:rPr>
        <w:t>IHP+Results</w:t>
      </w:r>
      <w:proofErr w:type="spellEnd"/>
      <w:r w:rsidR="00B908FA" w:rsidRPr="00D27EA1">
        <w:rPr>
          <w:lang w:val="fr-FR"/>
        </w:rPr>
        <w:t xml:space="preserve"> afin de développer et mener trois </w:t>
      </w:r>
      <w:r w:rsidR="00A462F3" w:rsidRPr="00D27EA1">
        <w:rPr>
          <w:lang w:val="fr-FR"/>
        </w:rPr>
        <w:t xml:space="preserve">cycles de suivi de la performance des partenaires du IHP+. </w:t>
      </w:r>
      <w:r w:rsidR="002A09CC" w:rsidRPr="00D27EA1">
        <w:rPr>
          <w:lang w:val="fr-FR"/>
        </w:rPr>
        <w:t xml:space="preserve">Cela a </w:t>
      </w:r>
      <w:r w:rsidR="00002EAE" w:rsidRPr="00D27EA1">
        <w:rPr>
          <w:lang w:val="fr-FR"/>
        </w:rPr>
        <w:t>représenté un</w:t>
      </w:r>
      <w:r w:rsidR="002A09CC" w:rsidRPr="00D27EA1">
        <w:rPr>
          <w:lang w:val="fr-FR"/>
        </w:rPr>
        <w:t xml:space="preserve"> </w:t>
      </w:r>
      <w:r w:rsidR="00002EAE" w:rsidRPr="00D27EA1">
        <w:rPr>
          <w:lang w:val="fr-FR"/>
        </w:rPr>
        <w:t>travail</w:t>
      </w:r>
      <w:r w:rsidR="002A09CC" w:rsidRPr="00D27EA1">
        <w:rPr>
          <w:lang w:val="fr-FR"/>
        </w:rPr>
        <w:t xml:space="preserve"> </w:t>
      </w:r>
      <w:r w:rsidR="00002EAE" w:rsidRPr="00D27EA1">
        <w:rPr>
          <w:lang w:val="fr-FR"/>
        </w:rPr>
        <w:t>inédit</w:t>
      </w:r>
      <w:r w:rsidR="002A09CC" w:rsidRPr="00D27EA1">
        <w:rPr>
          <w:lang w:val="fr-FR"/>
        </w:rPr>
        <w:t xml:space="preserve"> et difficile, et l’approche a évolué en concertation avec les partenaires du IHP+. Trois cycles ont été achevés (</w:t>
      </w:r>
      <w:bookmarkStart w:id="0" w:name="_GoBack"/>
      <w:r w:rsidR="00441FE8">
        <w:fldChar w:fldCharType="begin"/>
      </w:r>
      <w:r w:rsidR="00441FE8" w:rsidRPr="00441FE8">
        <w:rPr>
          <w:lang w:val="fr-CH"/>
        </w:rPr>
        <w:instrText xml:space="preserve"> HYPERLINK "http://ihpresults.net/download-reports/" </w:instrText>
      </w:r>
      <w:r w:rsidR="00441FE8">
        <w:fldChar w:fldCharType="separate"/>
      </w:r>
      <w:r w:rsidR="002A09CC" w:rsidRPr="00D27EA1">
        <w:rPr>
          <w:color w:val="0000FF"/>
          <w:u w:val="single"/>
          <w:lang w:val="fr-FR"/>
        </w:rPr>
        <w:t>http://ihpresults.net/download-reports/</w:t>
      </w:r>
      <w:r w:rsidR="00441FE8">
        <w:rPr>
          <w:color w:val="0000FF"/>
          <w:u w:val="single"/>
          <w:lang w:val="fr-FR"/>
        </w:rPr>
        <w:fldChar w:fldCharType="end"/>
      </w:r>
      <w:bookmarkEnd w:id="0"/>
      <w:r w:rsidR="00CF1723" w:rsidRPr="00D27EA1">
        <w:rPr>
          <w:lang w:val="fr-FR"/>
        </w:rPr>
        <w:t>).</w:t>
      </w:r>
      <w:r w:rsidR="00FC5D3F" w:rsidRPr="00D27EA1">
        <w:rPr>
          <w:lang w:val="fr-FR"/>
        </w:rPr>
        <w:t xml:space="preserve"> L’approche comporte désormais les </w:t>
      </w:r>
      <w:r w:rsidR="00810433" w:rsidRPr="00D27EA1">
        <w:rPr>
          <w:lang w:val="fr-FR"/>
        </w:rPr>
        <w:t xml:space="preserve">caractéristiques </w:t>
      </w:r>
      <w:r w:rsidR="00605E7F" w:rsidRPr="00D27EA1">
        <w:rPr>
          <w:lang w:val="fr-FR"/>
        </w:rPr>
        <w:t>suivantes :</w:t>
      </w:r>
    </w:p>
    <w:p w14:paraId="0C30FB7A" w14:textId="5442913C" w:rsidR="00585863" w:rsidRPr="00D27EA1" w:rsidRDefault="00810433" w:rsidP="00444879">
      <w:pPr>
        <w:pStyle w:val="ListParagraph"/>
        <w:numPr>
          <w:ilvl w:val="0"/>
          <w:numId w:val="18"/>
        </w:numPr>
        <w:spacing w:line="240" w:lineRule="auto"/>
        <w:rPr>
          <w:lang w:val="fr-FR"/>
        </w:rPr>
      </w:pPr>
      <w:r w:rsidRPr="00D27EA1">
        <w:rPr>
          <w:lang w:val="fr-FR"/>
        </w:rPr>
        <w:t>L</w:t>
      </w:r>
      <w:r w:rsidR="00002EAE" w:rsidRPr="00D27EA1">
        <w:rPr>
          <w:lang w:val="fr-FR"/>
        </w:rPr>
        <w:t>a</w:t>
      </w:r>
      <w:r w:rsidRPr="00D27EA1">
        <w:rPr>
          <w:lang w:val="fr-FR"/>
        </w:rPr>
        <w:t xml:space="preserve"> p</w:t>
      </w:r>
      <w:r w:rsidR="00444879" w:rsidRPr="00D27EA1">
        <w:rPr>
          <w:lang w:val="fr-FR"/>
        </w:rPr>
        <w:t>articipation</w:t>
      </w:r>
      <w:r w:rsidRPr="00D27EA1">
        <w:rPr>
          <w:lang w:val="fr-FR"/>
        </w:rPr>
        <w:t xml:space="preserve"> est encouragée</w:t>
      </w:r>
      <w:r w:rsidR="00A14201" w:rsidRPr="00D27EA1">
        <w:rPr>
          <w:lang w:val="fr-FR"/>
        </w:rPr>
        <w:t>,</w:t>
      </w:r>
      <w:r w:rsidRPr="00D27EA1">
        <w:rPr>
          <w:lang w:val="fr-FR"/>
        </w:rPr>
        <w:t xml:space="preserve"> mais elle demeure volontaire.</w:t>
      </w:r>
    </w:p>
    <w:p w14:paraId="30353E9E" w14:textId="7C23E585" w:rsidR="00810433" w:rsidRPr="00D27EA1" w:rsidRDefault="004A13DC" w:rsidP="00444879">
      <w:pPr>
        <w:pStyle w:val="ListParagraph"/>
        <w:numPr>
          <w:ilvl w:val="0"/>
          <w:numId w:val="18"/>
        </w:numPr>
        <w:spacing w:line="240" w:lineRule="auto"/>
        <w:rPr>
          <w:lang w:val="fr-FR"/>
        </w:rPr>
      </w:pPr>
      <w:r w:rsidRPr="00D27EA1">
        <w:rPr>
          <w:lang w:val="fr-FR"/>
        </w:rPr>
        <w:t>Les progrès sont mesurés à l’aun</w:t>
      </w:r>
      <w:r w:rsidR="00F60CF5" w:rsidRPr="00D27EA1">
        <w:rPr>
          <w:lang w:val="fr-FR"/>
        </w:rPr>
        <w:t>e d’un ensemble de mesures</w:t>
      </w:r>
      <w:r w:rsidRPr="00D27EA1">
        <w:rPr>
          <w:lang w:val="fr-FR"/>
        </w:rPr>
        <w:t xml:space="preserve"> standard basées sur les indicateurs </w:t>
      </w:r>
      <w:r w:rsidR="00F35695">
        <w:rPr>
          <w:lang w:val="fr-FR"/>
        </w:rPr>
        <w:t>définis pour le suivi de</w:t>
      </w:r>
      <w:r w:rsidRPr="00D27EA1">
        <w:rPr>
          <w:lang w:val="fr-FR"/>
        </w:rPr>
        <w:t xml:space="preserve"> la Déclaration de Paris sur l’efficacité de l’aide, lesquels </w:t>
      </w:r>
      <w:r w:rsidR="00A3071F" w:rsidRPr="00D27EA1">
        <w:rPr>
          <w:lang w:val="fr-FR"/>
        </w:rPr>
        <w:t xml:space="preserve">indicateurs </w:t>
      </w:r>
      <w:r w:rsidRPr="00D27EA1">
        <w:rPr>
          <w:lang w:val="fr-FR"/>
        </w:rPr>
        <w:t xml:space="preserve">ont été adaptés pour le secteur de la santé. </w:t>
      </w:r>
    </w:p>
    <w:p w14:paraId="6FFDEA77" w14:textId="08DFA088" w:rsidR="004A13DC" w:rsidRPr="00D27EA1" w:rsidRDefault="00C340F4" w:rsidP="00444879">
      <w:pPr>
        <w:pStyle w:val="ListParagraph"/>
        <w:numPr>
          <w:ilvl w:val="0"/>
          <w:numId w:val="18"/>
        </w:numPr>
        <w:spacing w:line="240" w:lineRule="auto"/>
        <w:rPr>
          <w:lang w:val="fr-FR"/>
        </w:rPr>
      </w:pPr>
      <w:r w:rsidRPr="00D27EA1">
        <w:rPr>
          <w:lang w:val="fr-FR"/>
        </w:rPr>
        <w:t xml:space="preserve">Les données sont auto-déclarées et recueillies par le biais d’un instrument </w:t>
      </w:r>
      <w:r w:rsidR="00DB1C9B" w:rsidRPr="00D27EA1">
        <w:rPr>
          <w:lang w:val="fr-FR"/>
        </w:rPr>
        <w:t xml:space="preserve">spécial </w:t>
      </w:r>
      <w:r w:rsidRPr="00D27EA1">
        <w:rPr>
          <w:lang w:val="fr-FR"/>
        </w:rPr>
        <w:t xml:space="preserve">géré par </w:t>
      </w:r>
      <w:proofErr w:type="spellStart"/>
      <w:r w:rsidRPr="00D27EA1">
        <w:rPr>
          <w:lang w:val="fr-FR"/>
        </w:rPr>
        <w:t>IHP+Results</w:t>
      </w:r>
      <w:proofErr w:type="spellEnd"/>
      <w:r w:rsidRPr="00D27EA1">
        <w:rPr>
          <w:lang w:val="fr-FR"/>
        </w:rPr>
        <w:t>.</w:t>
      </w:r>
    </w:p>
    <w:p w14:paraId="42AB9BFF" w14:textId="06474030" w:rsidR="00C340F4" w:rsidRPr="00D27EA1" w:rsidRDefault="008D3AC0" w:rsidP="00444879">
      <w:pPr>
        <w:pStyle w:val="ListParagraph"/>
        <w:numPr>
          <w:ilvl w:val="0"/>
          <w:numId w:val="18"/>
        </w:numPr>
        <w:spacing w:line="240" w:lineRule="auto"/>
        <w:rPr>
          <w:lang w:val="fr-FR"/>
        </w:rPr>
      </w:pPr>
      <w:r w:rsidRPr="00D27EA1">
        <w:rPr>
          <w:lang w:val="fr-FR"/>
        </w:rPr>
        <w:t xml:space="preserve">Les résultats sont résumés par </w:t>
      </w:r>
      <w:proofErr w:type="spellStart"/>
      <w:r w:rsidRPr="00D27EA1">
        <w:rPr>
          <w:lang w:val="fr-FR"/>
        </w:rPr>
        <w:t>IHP+Results</w:t>
      </w:r>
      <w:proofErr w:type="spellEnd"/>
      <w:r w:rsidRPr="00D27EA1">
        <w:rPr>
          <w:lang w:val="fr-FR"/>
        </w:rPr>
        <w:t xml:space="preserve"> sous la forme de </w:t>
      </w:r>
      <w:r w:rsidR="00A3071F" w:rsidRPr="00D27EA1">
        <w:rPr>
          <w:lang w:val="fr-FR"/>
        </w:rPr>
        <w:t>fiches d'évaluation (</w:t>
      </w:r>
      <w:r w:rsidRPr="00D27EA1">
        <w:rPr>
          <w:lang w:val="fr-FR"/>
        </w:rPr>
        <w:t>« </w:t>
      </w:r>
      <w:proofErr w:type="spellStart"/>
      <w:r w:rsidRPr="00D27EA1">
        <w:rPr>
          <w:lang w:val="fr-FR"/>
        </w:rPr>
        <w:t>scorecards</w:t>
      </w:r>
      <w:proofErr w:type="spellEnd"/>
      <w:r w:rsidRPr="00D27EA1">
        <w:rPr>
          <w:lang w:val="fr-FR"/>
        </w:rPr>
        <w:t> »</w:t>
      </w:r>
      <w:r w:rsidR="00A3071F" w:rsidRPr="00D27EA1">
        <w:rPr>
          <w:lang w:val="fr-FR"/>
        </w:rPr>
        <w:t>)</w:t>
      </w:r>
      <w:r w:rsidRPr="00D27EA1">
        <w:rPr>
          <w:lang w:val="fr-FR"/>
        </w:rPr>
        <w:t xml:space="preserve"> individuel</w:t>
      </w:r>
      <w:r w:rsidR="00A3071F" w:rsidRPr="00D27EA1">
        <w:rPr>
          <w:lang w:val="fr-FR"/>
        </w:rPr>
        <w:t>le</w:t>
      </w:r>
      <w:r w:rsidRPr="00D27EA1">
        <w:rPr>
          <w:lang w:val="fr-FR"/>
        </w:rPr>
        <w:t xml:space="preserve">s pour chaque pays et partenaires du développement, </w:t>
      </w:r>
      <w:r w:rsidR="009A370B" w:rsidRPr="00D27EA1">
        <w:rPr>
          <w:lang w:val="fr-FR"/>
        </w:rPr>
        <w:t>accompagné</w:t>
      </w:r>
      <w:r w:rsidR="00A3071F" w:rsidRPr="00D27EA1">
        <w:rPr>
          <w:lang w:val="fr-FR"/>
        </w:rPr>
        <w:t>e</w:t>
      </w:r>
      <w:r w:rsidR="009A370B" w:rsidRPr="00D27EA1">
        <w:rPr>
          <w:lang w:val="fr-FR"/>
        </w:rPr>
        <w:t xml:space="preserve">s d’un rapport de synthèse dédié à l’examen des tendances globales. </w:t>
      </w:r>
    </w:p>
    <w:p w14:paraId="7E3A2F0B" w14:textId="2A609D73" w:rsidR="009D237F" w:rsidRPr="00D27EA1" w:rsidRDefault="00A3071F" w:rsidP="003E1022">
      <w:pPr>
        <w:spacing w:line="240" w:lineRule="auto"/>
        <w:rPr>
          <w:lang w:val="fr-FR"/>
        </w:rPr>
      </w:pPr>
      <w:r w:rsidRPr="00D27EA1">
        <w:rPr>
          <w:lang w:val="fr-FR"/>
        </w:rPr>
        <w:t>Après trois cycles, des progrès ont été accomplis en ce qui concerne l’attention portée à la redevabilité</w:t>
      </w:r>
      <w:r w:rsidR="009D237F" w:rsidRPr="00D27EA1">
        <w:rPr>
          <w:lang w:val="fr-FR"/>
        </w:rPr>
        <w:t xml:space="preserve"> mutuelle. Le nombre de signataires participa</w:t>
      </w:r>
      <w:r w:rsidRPr="00D27EA1">
        <w:rPr>
          <w:lang w:val="fr-FR"/>
        </w:rPr>
        <w:t>n</w:t>
      </w:r>
      <w:r w:rsidR="009D237F" w:rsidRPr="00D27EA1">
        <w:rPr>
          <w:lang w:val="fr-FR"/>
        </w:rPr>
        <w:t>t</w:t>
      </w:r>
      <w:r w:rsidRPr="00D27EA1">
        <w:rPr>
          <w:lang w:val="fr-FR"/>
        </w:rPr>
        <w:t xml:space="preserve"> à l</w:t>
      </w:r>
      <w:r w:rsidR="00A75E7D" w:rsidRPr="00D27EA1">
        <w:rPr>
          <w:lang w:val="fr-FR"/>
        </w:rPr>
        <w:t xml:space="preserve">’exercice conduit par le </w:t>
      </w:r>
      <w:proofErr w:type="spellStart"/>
      <w:r w:rsidR="009D237F" w:rsidRPr="00D27EA1">
        <w:rPr>
          <w:lang w:val="fr-FR"/>
        </w:rPr>
        <w:t>IHP+</w:t>
      </w:r>
      <w:r w:rsidR="00A75E7D" w:rsidRPr="00D27EA1">
        <w:rPr>
          <w:lang w:val="fr-FR"/>
        </w:rPr>
        <w:t>Results</w:t>
      </w:r>
      <w:proofErr w:type="spellEnd"/>
      <w:r w:rsidR="00A75E7D" w:rsidRPr="00D27EA1">
        <w:rPr>
          <w:lang w:val="fr-FR"/>
        </w:rPr>
        <w:t xml:space="preserve"> </w:t>
      </w:r>
      <w:r w:rsidR="00144A0E" w:rsidRPr="00D27EA1">
        <w:rPr>
          <w:lang w:val="fr-FR"/>
        </w:rPr>
        <w:t>a augmenté</w:t>
      </w:r>
      <w:r w:rsidR="00A14201" w:rsidRPr="00D27EA1">
        <w:rPr>
          <w:lang w:val="fr-FR"/>
        </w:rPr>
        <w:t xml:space="preserve">, </w:t>
      </w:r>
      <w:r w:rsidR="00A14201" w:rsidRPr="00D27EA1">
        <w:rPr>
          <w:lang w:val="fr-FR"/>
        </w:rPr>
        <w:lastRenderedPageBreak/>
        <w:t>passant</w:t>
      </w:r>
      <w:r w:rsidR="00A75E7D" w:rsidRPr="00D27EA1">
        <w:rPr>
          <w:lang w:val="fr-FR"/>
        </w:rPr>
        <w:t xml:space="preserve"> de 16 en 2009 à 36 en 2012</w:t>
      </w:r>
      <w:r w:rsidR="00144488" w:rsidRPr="00D27EA1">
        <w:rPr>
          <w:rStyle w:val="FootnoteReference"/>
          <w:lang w:val="fr-FR"/>
        </w:rPr>
        <w:footnoteReference w:id="1"/>
      </w:r>
      <w:r w:rsidR="00D224B6" w:rsidRPr="00D27EA1">
        <w:rPr>
          <w:lang w:val="fr-FR"/>
        </w:rPr>
        <w:t>.</w:t>
      </w:r>
      <w:r w:rsidR="00DB1C9B" w:rsidRPr="00D27EA1">
        <w:rPr>
          <w:lang w:val="fr-FR"/>
        </w:rPr>
        <w:t xml:space="preserve"> De plus en plus de données relatives aux tendances en matière d’efficacité de l’aide sont désormais disponibles. On a également beaucoup appris sur ce qui doit être suivi et de quelle manière.</w:t>
      </w:r>
      <w:r w:rsidR="00D224B6" w:rsidRPr="00D27EA1">
        <w:rPr>
          <w:lang w:val="fr-FR"/>
        </w:rPr>
        <w:t xml:space="preserve"> </w:t>
      </w:r>
      <w:r w:rsidR="009D237F" w:rsidRPr="00D27EA1">
        <w:rPr>
          <w:lang w:val="fr-FR"/>
        </w:rPr>
        <w:t xml:space="preserve">Les fiches d’évaluation sont un outil de communication lisible et efficace, et </w:t>
      </w:r>
      <w:r w:rsidR="00144A0E" w:rsidRPr="00D27EA1">
        <w:rPr>
          <w:lang w:val="fr-FR"/>
        </w:rPr>
        <w:t xml:space="preserve">elles </w:t>
      </w:r>
      <w:r w:rsidR="009D237F" w:rsidRPr="00D27EA1">
        <w:rPr>
          <w:lang w:val="fr-FR"/>
        </w:rPr>
        <w:t xml:space="preserve">sont en passe de devenir plus largement connues. Elles ne sont cependant pas encore largement utilisées, en partie parce que le deuxième ensemble de fiches d’évaluation vient </w:t>
      </w:r>
      <w:r w:rsidR="00144A0E" w:rsidRPr="00D27EA1">
        <w:rPr>
          <w:lang w:val="fr-FR"/>
        </w:rPr>
        <w:t>seulement</w:t>
      </w:r>
      <w:r w:rsidR="009D237F" w:rsidRPr="00D27EA1">
        <w:rPr>
          <w:lang w:val="fr-FR"/>
        </w:rPr>
        <w:t xml:space="preserve"> d’être publié. </w:t>
      </w:r>
      <w:r w:rsidR="00144A0E" w:rsidRPr="00D27EA1">
        <w:rPr>
          <w:lang w:val="fr-FR"/>
        </w:rPr>
        <w:t>D’autres</w:t>
      </w:r>
      <w:r w:rsidR="00A14201" w:rsidRPr="00D27EA1">
        <w:rPr>
          <w:lang w:val="fr-FR"/>
        </w:rPr>
        <w:t xml:space="preserve"> observations incluent le fait que, </w:t>
      </w:r>
      <w:r w:rsidR="00144A0E" w:rsidRPr="00D27EA1">
        <w:rPr>
          <w:lang w:val="fr-FR"/>
        </w:rPr>
        <w:t>au niveau des pays, l’appropriation du processus et des résultats qui en découlent n’est pas unifiée</w:t>
      </w:r>
      <w:r w:rsidR="00732BA4" w:rsidRPr="00D27EA1">
        <w:rPr>
          <w:lang w:val="fr-FR"/>
        </w:rPr>
        <w:t xml:space="preserve"> ; des défis demeurent </w:t>
      </w:r>
      <w:r w:rsidR="00FF046C" w:rsidRPr="00D27EA1">
        <w:rPr>
          <w:lang w:val="fr-FR"/>
        </w:rPr>
        <w:t xml:space="preserve">également </w:t>
      </w:r>
      <w:r w:rsidR="00732BA4" w:rsidRPr="00D27EA1">
        <w:rPr>
          <w:lang w:val="fr-FR"/>
        </w:rPr>
        <w:t xml:space="preserve">en ce qui concerne la </w:t>
      </w:r>
      <w:r w:rsidR="00FF046C" w:rsidRPr="00D27EA1">
        <w:rPr>
          <w:lang w:val="fr-FR"/>
        </w:rPr>
        <w:t>pertinence et la mesurabilité de certains indicateurs, et le temps nécessaire pour remplir l</w:t>
      </w:r>
      <w:r w:rsidR="00DB1C9B" w:rsidRPr="00D27EA1">
        <w:rPr>
          <w:lang w:val="fr-FR"/>
        </w:rPr>
        <w:t>’enquête.</w:t>
      </w:r>
      <w:r w:rsidR="00144A0E" w:rsidRPr="00D27EA1">
        <w:rPr>
          <w:lang w:val="fr-FR"/>
        </w:rPr>
        <w:t xml:space="preserve"> </w:t>
      </w:r>
      <w:r w:rsidR="00B46076" w:rsidRPr="00D27EA1">
        <w:rPr>
          <w:lang w:val="fr-FR"/>
        </w:rPr>
        <w:t xml:space="preserve">Somme toute, le </w:t>
      </w:r>
      <w:hyperlink r:id="rId9" w:history="1">
        <w:r w:rsidR="00B46076" w:rsidRPr="00D27EA1">
          <w:rPr>
            <w:rStyle w:val="Hyperlink"/>
            <w:lang w:val="fr-FR"/>
          </w:rPr>
          <w:t xml:space="preserve">Rapport sur la performance du </w:t>
        </w:r>
        <w:proofErr w:type="spellStart"/>
        <w:r w:rsidR="00B46076" w:rsidRPr="00D27EA1">
          <w:rPr>
            <w:rStyle w:val="Hyperlink"/>
            <w:lang w:val="fr-FR"/>
          </w:rPr>
          <w:t>IHP+Results</w:t>
        </w:r>
        <w:proofErr w:type="spellEnd"/>
      </w:hyperlink>
      <w:r w:rsidR="00B46076" w:rsidRPr="00D27EA1">
        <w:rPr>
          <w:lang w:val="fr-FR"/>
        </w:rPr>
        <w:t xml:space="preserve"> conclut que la redevabilité mutuelle </w:t>
      </w:r>
      <w:r w:rsidR="00FF5F48" w:rsidRPr="00D27EA1">
        <w:rPr>
          <w:lang w:val="fr-FR"/>
        </w:rPr>
        <w:t>est</w:t>
      </w:r>
      <w:r w:rsidR="00B46076" w:rsidRPr="00D27EA1">
        <w:rPr>
          <w:lang w:val="fr-FR"/>
        </w:rPr>
        <w:t xml:space="preserve"> un outil important pour </w:t>
      </w:r>
      <w:r w:rsidR="00FF5F48" w:rsidRPr="00D27EA1">
        <w:rPr>
          <w:lang w:val="fr-FR"/>
        </w:rPr>
        <w:t xml:space="preserve">améliorer l’efficacité de l’aide pour la santé </w:t>
      </w:r>
      <w:r w:rsidR="00B46076" w:rsidRPr="00D27EA1">
        <w:rPr>
          <w:lang w:val="fr-FR"/>
        </w:rPr>
        <w:t xml:space="preserve">mais qu’elle </w:t>
      </w:r>
      <w:r w:rsidR="00FF5F48" w:rsidRPr="00D27EA1">
        <w:rPr>
          <w:lang w:val="fr-FR"/>
        </w:rPr>
        <w:t>reste</w:t>
      </w:r>
      <w:r w:rsidR="00B46076" w:rsidRPr="00D27EA1">
        <w:rPr>
          <w:lang w:val="fr-FR"/>
        </w:rPr>
        <w:t xml:space="preserve"> </w:t>
      </w:r>
      <w:r w:rsidR="00FF5F48" w:rsidRPr="00D27EA1">
        <w:rPr>
          <w:lang w:val="fr-FR"/>
        </w:rPr>
        <w:t xml:space="preserve">sous-utilisée, et que le suivi devrait être maintenu tout en </w:t>
      </w:r>
      <w:r w:rsidR="00914521" w:rsidRPr="00D27EA1">
        <w:rPr>
          <w:lang w:val="fr-FR"/>
        </w:rPr>
        <w:t xml:space="preserve">étant </w:t>
      </w:r>
      <w:r w:rsidR="00E901F2" w:rsidRPr="00D27EA1">
        <w:rPr>
          <w:lang w:val="fr-FR"/>
        </w:rPr>
        <w:t>adapté</w:t>
      </w:r>
      <w:r w:rsidR="006B4725" w:rsidRPr="00D27EA1">
        <w:rPr>
          <w:lang w:val="fr-FR"/>
        </w:rPr>
        <w:t>.</w:t>
      </w:r>
      <w:r w:rsidR="00E901F2" w:rsidRPr="00D27EA1">
        <w:rPr>
          <w:lang w:val="fr-FR"/>
        </w:rPr>
        <w:t xml:space="preserve"> Il semble également qu’un nombre accru de pays partenaires incluent désormais des indicateurs pour le suivi des engagements </w:t>
      </w:r>
      <w:r w:rsidR="00EF3454" w:rsidRPr="00D27EA1">
        <w:rPr>
          <w:lang w:val="fr-FR"/>
        </w:rPr>
        <w:t>dans leur</w:t>
      </w:r>
      <w:r w:rsidR="0021644E" w:rsidRPr="00D27EA1">
        <w:rPr>
          <w:lang w:val="fr-FR"/>
        </w:rPr>
        <w:t>s</w:t>
      </w:r>
      <w:r w:rsidR="00EF3454" w:rsidRPr="00D27EA1">
        <w:rPr>
          <w:lang w:val="fr-FR"/>
        </w:rPr>
        <w:t xml:space="preserve"> pactes nationaux </w:t>
      </w:r>
      <w:r w:rsidR="001D7DDB">
        <w:rPr>
          <w:lang w:val="fr-FR"/>
        </w:rPr>
        <w:t>ou</w:t>
      </w:r>
      <w:r w:rsidR="001D7DDB" w:rsidRPr="00D27EA1">
        <w:rPr>
          <w:lang w:val="fr-FR"/>
        </w:rPr>
        <w:t xml:space="preserve"> </w:t>
      </w:r>
      <w:r w:rsidR="00EF3454" w:rsidRPr="00D27EA1">
        <w:rPr>
          <w:lang w:val="fr-FR"/>
        </w:rPr>
        <w:t xml:space="preserve">les accords de partenariats </w:t>
      </w:r>
      <w:r w:rsidR="00E401EB" w:rsidRPr="00D27EA1">
        <w:rPr>
          <w:lang w:val="fr-FR"/>
        </w:rPr>
        <w:t>équivalents (encadré 2).</w:t>
      </w:r>
      <w:r w:rsidR="00E901F2" w:rsidRPr="00D27EA1">
        <w:rPr>
          <w:lang w:val="fr-FR"/>
        </w:rPr>
        <w:t xml:space="preserve"> </w:t>
      </w:r>
    </w:p>
    <w:p w14:paraId="43C625F2" w14:textId="316230A2" w:rsidR="007811C2" w:rsidRPr="00D27EA1" w:rsidRDefault="00DB6AB1" w:rsidP="00914201">
      <w:pPr>
        <w:spacing w:after="0" w:line="240" w:lineRule="auto"/>
        <w:ind w:left="710"/>
        <w:rPr>
          <w:b/>
          <w:sz w:val="20"/>
          <w:szCs w:val="20"/>
          <w:lang w:val="fr-FR"/>
        </w:rPr>
      </w:pPr>
      <w:r w:rsidRPr="00D27EA1">
        <w:rPr>
          <w:b/>
          <w:sz w:val="20"/>
          <w:szCs w:val="20"/>
          <w:lang w:val="fr-FR"/>
        </w:rPr>
        <w:t>Encadré</w:t>
      </w:r>
      <w:r w:rsidR="007811C2" w:rsidRPr="00D27EA1">
        <w:rPr>
          <w:b/>
          <w:sz w:val="20"/>
          <w:szCs w:val="20"/>
          <w:lang w:val="fr-FR"/>
        </w:rPr>
        <w:t xml:space="preserve"> 2. Statu</w:t>
      </w:r>
      <w:r w:rsidRPr="00D27EA1">
        <w:rPr>
          <w:b/>
          <w:sz w:val="20"/>
          <w:szCs w:val="20"/>
          <w:lang w:val="fr-FR"/>
        </w:rPr>
        <w:t>t</w:t>
      </w:r>
      <w:r w:rsidR="007811C2" w:rsidRPr="00D27EA1">
        <w:rPr>
          <w:b/>
          <w:sz w:val="20"/>
          <w:szCs w:val="20"/>
          <w:lang w:val="fr-FR"/>
        </w:rPr>
        <w:t xml:space="preserve"> </w:t>
      </w:r>
      <w:r w:rsidRPr="00D27EA1">
        <w:rPr>
          <w:b/>
          <w:sz w:val="20"/>
          <w:szCs w:val="20"/>
          <w:lang w:val="fr-FR"/>
        </w:rPr>
        <w:t xml:space="preserve">des indicateurs </w:t>
      </w:r>
      <w:r w:rsidR="008C154D" w:rsidRPr="00D27EA1">
        <w:rPr>
          <w:b/>
          <w:sz w:val="20"/>
          <w:szCs w:val="20"/>
          <w:lang w:val="fr-FR"/>
        </w:rPr>
        <w:t>liés à l’efficacité de l’aide dans les pays, et à l’examen des proc</w:t>
      </w:r>
      <w:r w:rsidR="0044617F">
        <w:rPr>
          <w:b/>
          <w:sz w:val="20"/>
          <w:szCs w:val="20"/>
          <w:lang w:val="fr-FR"/>
        </w:rPr>
        <w:t>essus nationaux de redevabilité</w:t>
      </w:r>
      <w:r w:rsidR="00144488" w:rsidRPr="00D27EA1">
        <w:rPr>
          <w:b/>
          <w:sz w:val="20"/>
          <w:szCs w:val="20"/>
          <w:lang w:val="fr-FR"/>
        </w:rPr>
        <w:t>*</w:t>
      </w:r>
    </w:p>
    <w:p w14:paraId="103D3231" w14:textId="5F9D669F" w:rsidR="008C154D" w:rsidRPr="00D27EA1" w:rsidRDefault="008C154D" w:rsidP="007811C2">
      <w:pPr>
        <w:pStyle w:val="ListParagraph"/>
        <w:numPr>
          <w:ilvl w:val="0"/>
          <w:numId w:val="31"/>
        </w:numPr>
        <w:pBdr>
          <w:top w:val="single" w:sz="4" w:space="1" w:color="auto"/>
        </w:pBdr>
        <w:shd w:val="clear" w:color="auto" w:fill="F2F2F2" w:themeFill="background1" w:themeFillShade="F2"/>
        <w:spacing w:after="0" w:line="240" w:lineRule="auto"/>
        <w:rPr>
          <w:sz w:val="20"/>
          <w:szCs w:val="20"/>
          <w:lang w:val="fr-FR"/>
        </w:rPr>
      </w:pPr>
      <w:r w:rsidRPr="00D27EA1">
        <w:rPr>
          <w:sz w:val="20"/>
          <w:szCs w:val="20"/>
          <w:lang w:val="fr-FR"/>
        </w:rPr>
        <w:t>Davantage de pays partenaires du IHP+ incluent désormais des indicateurs pour le suivi des engagements qui ont été pris dans leur</w:t>
      </w:r>
      <w:r w:rsidR="0021644E" w:rsidRPr="00D27EA1">
        <w:rPr>
          <w:sz w:val="20"/>
          <w:szCs w:val="20"/>
          <w:lang w:val="fr-FR"/>
        </w:rPr>
        <w:t>s</w:t>
      </w:r>
      <w:r w:rsidRPr="00D27EA1">
        <w:rPr>
          <w:sz w:val="20"/>
          <w:szCs w:val="20"/>
          <w:lang w:val="fr-FR"/>
        </w:rPr>
        <w:t xml:space="preserve"> pactes nationaux : depuis la mi-2010, tous les nouveaux pactes le font à l’exception d’un seul.</w:t>
      </w:r>
    </w:p>
    <w:p w14:paraId="4431DCA6" w14:textId="71694FA1" w:rsidR="001D7DDB" w:rsidRPr="004545B0" w:rsidRDefault="00B94D1E" w:rsidP="004545B0">
      <w:pPr>
        <w:pStyle w:val="ListParagraph"/>
        <w:numPr>
          <w:ilvl w:val="0"/>
          <w:numId w:val="31"/>
        </w:numPr>
        <w:pBdr>
          <w:top w:val="single" w:sz="4" w:space="1" w:color="auto"/>
        </w:pBdr>
        <w:shd w:val="clear" w:color="auto" w:fill="F2F2F2" w:themeFill="background1" w:themeFillShade="F2"/>
        <w:spacing w:after="0" w:line="240" w:lineRule="auto"/>
        <w:rPr>
          <w:sz w:val="20"/>
          <w:szCs w:val="20"/>
          <w:lang w:val="fr-FR"/>
        </w:rPr>
      </w:pPr>
      <w:r w:rsidRPr="00D27EA1">
        <w:rPr>
          <w:sz w:val="20"/>
          <w:szCs w:val="20"/>
          <w:lang w:val="fr-FR"/>
        </w:rPr>
        <w:t>Les indicateurs les plus fréquents sont</w:t>
      </w:r>
      <w:r w:rsidR="000638EE" w:rsidRPr="00D27EA1">
        <w:rPr>
          <w:sz w:val="20"/>
          <w:szCs w:val="20"/>
          <w:lang w:val="fr-FR"/>
        </w:rPr>
        <w:t> </w:t>
      </w:r>
      <w:r w:rsidR="00A14201" w:rsidRPr="00D27EA1">
        <w:rPr>
          <w:sz w:val="20"/>
          <w:szCs w:val="20"/>
          <w:lang w:val="fr-FR"/>
        </w:rPr>
        <w:t>les suivants :</w:t>
      </w:r>
      <w:r w:rsidR="000638EE" w:rsidRPr="00D27EA1">
        <w:rPr>
          <w:sz w:val="20"/>
          <w:szCs w:val="20"/>
          <w:lang w:val="fr-FR"/>
        </w:rPr>
        <w:t xml:space="preserve"> la proportion de financement</w:t>
      </w:r>
      <w:r w:rsidRPr="00D27EA1">
        <w:rPr>
          <w:sz w:val="20"/>
          <w:szCs w:val="20"/>
          <w:lang w:val="fr-FR"/>
        </w:rPr>
        <w:t xml:space="preserve"> public alloué</w:t>
      </w:r>
      <w:r w:rsidR="000638EE" w:rsidRPr="00D27EA1">
        <w:rPr>
          <w:sz w:val="20"/>
          <w:szCs w:val="20"/>
          <w:lang w:val="fr-FR"/>
        </w:rPr>
        <w:t>e</w:t>
      </w:r>
      <w:r w:rsidRPr="00D27EA1">
        <w:rPr>
          <w:sz w:val="20"/>
          <w:szCs w:val="20"/>
          <w:lang w:val="fr-FR"/>
        </w:rPr>
        <w:t xml:space="preserve"> à la santé ; le pourcentage des flux d’aide en matière de santé </w:t>
      </w:r>
      <w:r w:rsidR="00333BCD" w:rsidRPr="00D27EA1">
        <w:rPr>
          <w:sz w:val="20"/>
          <w:szCs w:val="20"/>
          <w:lang w:val="fr-FR"/>
        </w:rPr>
        <w:t>a) fourni</w:t>
      </w:r>
      <w:r w:rsidRPr="00D27EA1">
        <w:rPr>
          <w:sz w:val="20"/>
          <w:szCs w:val="20"/>
          <w:lang w:val="fr-FR"/>
        </w:rPr>
        <w:t xml:space="preserve"> </w:t>
      </w:r>
      <w:r w:rsidR="00A1524E" w:rsidRPr="00D27EA1">
        <w:rPr>
          <w:sz w:val="20"/>
          <w:szCs w:val="20"/>
          <w:lang w:val="fr-FR"/>
        </w:rPr>
        <w:t>par le biais d’engagements pluriannuels</w:t>
      </w:r>
      <w:r w:rsidR="005B4B73" w:rsidRPr="00D27EA1">
        <w:rPr>
          <w:sz w:val="20"/>
          <w:szCs w:val="20"/>
          <w:lang w:val="fr-FR"/>
        </w:rPr>
        <w:t xml:space="preserve"> ; b) </w:t>
      </w:r>
      <w:r w:rsidR="00333BCD" w:rsidRPr="00D27EA1">
        <w:rPr>
          <w:sz w:val="20"/>
          <w:szCs w:val="20"/>
          <w:lang w:val="fr-FR"/>
        </w:rPr>
        <w:t xml:space="preserve">rapporté dans les budgets ; c) versé selon le calendrier convenu ; ainsi que les mesures entreprises pour renforcer / utiliser les </w:t>
      </w:r>
      <w:r w:rsidR="00643235" w:rsidRPr="00D27EA1">
        <w:rPr>
          <w:sz w:val="20"/>
          <w:szCs w:val="20"/>
          <w:lang w:val="fr-FR"/>
        </w:rPr>
        <w:t>systèmes</w:t>
      </w:r>
      <w:r w:rsidR="00333BCD" w:rsidRPr="00D27EA1">
        <w:rPr>
          <w:sz w:val="20"/>
          <w:szCs w:val="20"/>
          <w:lang w:val="fr-FR"/>
        </w:rPr>
        <w:t xml:space="preserve"> nationaux – tels les cadres d’évaluation de la performance nationale, les systèmes </w:t>
      </w:r>
      <w:r w:rsidR="00643235" w:rsidRPr="00D27EA1">
        <w:rPr>
          <w:sz w:val="20"/>
          <w:szCs w:val="20"/>
          <w:lang w:val="fr-FR"/>
        </w:rPr>
        <w:t xml:space="preserve">de </w:t>
      </w:r>
      <w:r w:rsidR="00DB1C9B" w:rsidRPr="00D27EA1">
        <w:rPr>
          <w:sz w:val="20"/>
          <w:szCs w:val="20"/>
          <w:lang w:val="fr-FR"/>
        </w:rPr>
        <w:t>passation des marchés</w:t>
      </w:r>
      <w:r w:rsidR="00333BCD" w:rsidRPr="00D27EA1">
        <w:rPr>
          <w:sz w:val="20"/>
          <w:szCs w:val="20"/>
          <w:lang w:val="fr-FR"/>
        </w:rPr>
        <w:t xml:space="preserve"> et</w:t>
      </w:r>
      <w:r w:rsidR="00643235" w:rsidRPr="00D27EA1">
        <w:rPr>
          <w:sz w:val="20"/>
          <w:szCs w:val="20"/>
          <w:lang w:val="fr-FR"/>
        </w:rPr>
        <w:t xml:space="preserve"> de gestion des</w:t>
      </w:r>
      <w:r w:rsidR="00333BCD" w:rsidRPr="00D27EA1">
        <w:rPr>
          <w:sz w:val="20"/>
          <w:szCs w:val="20"/>
          <w:lang w:val="fr-FR"/>
        </w:rPr>
        <w:t xml:space="preserve"> </w:t>
      </w:r>
      <w:r w:rsidR="00643235" w:rsidRPr="00D27EA1">
        <w:rPr>
          <w:sz w:val="20"/>
          <w:szCs w:val="20"/>
          <w:lang w:val="fr-FR"/>
        </w:rPr>
        <w:t>financ</w:t>
      </w:r>
      <w:r w:rsidR="00333BCD" w:rsidRPr="00D27EA1">
        <w:rPr>
          <w:sz w:val="20"/>
          <w:szCs w:val="20"/>
          <w:lang w:val="fr-FR"/>
        </w:rPr>
        <w:t>e</w:t>
      </w:r>
      <w:r w:rsidR="00643235" w:rsidRPr="00D27EA1">
        <w:rPr>
          <w:sz w:val="20"/>
          <w:szCs w:val="20"/>
          <w:lang w:val="fr-FR"/>
        </w:rPr>
        <w:t>s</w:t>
      </w:r>
      <w:r w:rsidR="00333BCD" w:rsidRPr="00D27EA1">
        <w:rPr>
          <w:sz w:val="20"/>
          <w:szCs w:val="20"/>
          <w:lang w:val="fr-FR"/>
        </w:rPr>
        <w:t xml:space="preserve">. </w:t>
      </w:r>
    </w:p>
    <w:p w14:paraId="69BAF588" w14:textId="2569E932" w:rsidR="007811C2" w:rsidRPr="00D27EA1" w:rsidRDefault="000638EE" w:rsidP="004545B0">
      <w:pPr>
        <w:pStyle w:val="ListParagraph"/>
        <w:numPr>
          <w:ilvl w:val="0"/>
          <w:numId w:val="31"/>
        </w:numPr>
        <w:pBdr>
          <w:bottom w:val="single" w:sz="4" w:space="1" w:color="auto"/>
        </w:pBdr>
        <w:shd w:val="clear" w:color="auto" w:fill="F2F2F2" w:themeFill="background1" w:themeFillShade="F2"/>
        <w:spacing w:after="0" w:line="240" w:lineRule="auto"/>
        <w:rPr>
          <w:sz w:val="20"/>
          <w:szCs w:val="20"/>
          <w:lang w:val="fr-FR"/>
        </w:rPr>
      </w:pPr>
      <w:r w:rsidRPr="00D27EA1">
        <w:rPr>
          <w:sz w:val="20"/>
          <w:szCs w:val="20"/>
          <w:lang w:val="fr-FR"/>
        </w:rPr>
        <w:t>Il existe peu d’information</w:t>
      </w:r>
      <w:r w:rsidR="00A14201" w:rsidRPr="00D27EA1">
        <w:rPr>
          <w:sz w:val="20"/>
          <w:szCs w:val="20"/>
          <w:lang w:val="fr-FR"/>
        </w:rPr>
        <w:t>s</w:t>
      </w:r>
      <w:r w:rsidRPr="00D27EA1">
        <w:rPr>
          <w:sz w:val="20"/>
          <w:szCs w:val="20"/>
          <w:lang w:val="fr-FR"/>
        </w:rPr>
        <w:t xml:space="preserve"> quant à la façon dont ces indicateurs, particulièrement ceux </w:t>
      </w:r>
      <w:r w:rsidR="00A14201" w:rsidRPr="00D27EA1">
        <w:rPr>
          <w:sz w:val="20"/>
          <w:szCs w:val="20"/>
          <w:lang w:val="fr-FR"/>
        </w:rPr>
        <w:t xml:space="preserve">qui portent </w:t>
      </w:r>
      <w:r w:rsidRPr="00D27EA1">
        <w:rPr>
          <w:sz w:val="20"/>
          <w:szCs w:val="20"/>
          <w:lang w:val="fr-FR"/>
        </w:rPr>
        <w:t>sur le comportement des partenaires du développement, sont rapportés dans les événements tels que les examens annuels conjoints. On sait que l’Éthiopie, le Mozambique et le Népal ont inclus une discussion à c</w:t>
      </w:r>
      <w:r w:rsidR="00881768" w:rsidRPr="00D27EA1">
        <w:rPr>
          <w:sz w:val="20"/>
          <w:szCs w:val="20"/>
          <w:lang w:val="fr-FR"/>
        </w:rPr>
        <w:t>e sujet lors d’examens récents</w:t>
      </w:r>
      <w:r w:rsidR="007811C2" w:rsidRPr="00D27EA1">
        <w:rPr>
          <w:sz w:val="20"/>
          <w:szCs w:val="20"/>
          <w:lang w:val="fr-FR"/>
        </w:rPr>
        <w:t>.</w:t>
      </w:r>
    </w:p>
    <w:p w14:paraId="446A4204" w14:textId="38701EB8" w:rsidR="00144488" w:rsidRPr="00D27EA1" w:rsidRDefault="00144488" w:rsidP="00D27EA1">
      <w:pPr>
        <w:spacing w:after="0" w:line="240" w:lineRule="auto"/>
        <w:ind w:left="360"/>
        <w:outlineLvl w:val="0"/>
        <w:rPr>
          <w:sz w:val="16"/>
          <w:szCs w:val="16"/>
          <w:lang w:val="fr-FR"/>
        </w:rPr>
      </w:pPr>
      <w:r w:rsidRPr="00D27EA1">
        <w:rPr>
          <w:sz w:val="16"/>
          <w:szCs w:val="16"/>
          <w:lang w:val="fr-FR"/>
        </w:rPr>
        <w:t xml:space="preserve">*Source: </w:t>
      </w:r>
      <w:r w:rsidR="00881768" w:rsidRPr="00D27EA1">
        <w:rPr>
          <w:sz w:val="16"/>
          <w:szCs w:val="16"/>
          <w:lang w:val="fr-FR"/>
        </w:rPr>
        <w:t>Examen des dossiers des pactes nationaux par l’Équipe de base du IHP+</w:t>
      </w:r>
      <w:r w:rsidRPr="00D27EA1">
        <w:rPr>
          <w:sz w:val="16"/>
          <w:szCs w:val="16"/>
          <w:lang w:val="fr-FR"/>
        </w:rPr>
        <w:t xml:space="preserve"> </w:t>
      </w:r>
    </w:p>
    <w:p w14:paraId="50110B1E" w14:textId="435A463B" w:rsidR="00EF4943" w:rsidRPr="00D27EA1" w:rsidRDefault="00356FDD" w:rsidP="007811C2">
      <w:pPr>
        <w:spacing w:before="240" w:line="240" w:lineRule="auto"/>
        <w:rPr>
          <w:lang w:val="fr-FR"/>
        </w:rPr>
      </w:pPr>
      <w:r w:rsidRPr="00D27EA1">
        <w:rPr>
          <w:b/>
          <w:lang w:val="fr-FR"/>
        </w:rPr>
        <w:t>L</w:t>
      </w:r>
      <w:r w:rsidR="00F32CB2" w:rsidRPr="00D27EA1">
        <w:rPr>
          <w:b/>
          <w:lang w:val="fr-FR"/>
        </w:rPr>
        <w:t>’Accord de partenariat de Busan pour une coopération efficace au service du développement</w:t>
      </w:r>
      <w:r w:rsidR="00F32CB2" w:rsidRPr="00D27EA1">
        <w:rPr>
          <w:lang w:val="fr-FR"/>
        </w:rPr>
        <w:t xml:space="preserve">, qui fait suite à la Déclaration de Paris sur l’efficacité de l’aide, est le plus important des derniers développements pertinents. </w:t>
      </w:r>
      <w:r w:rsidR="00A657AC" w:rsidRPr="00D27EA1">
        <w:rPr>
          <w:lang w:val="fr-FR"/>
        </w:rPr>
        <w:t xml:space="preserve">Dans le cadre de ce </w:t>
      </w:r>
      <w:r w:rsidR="00DB1C9B" w:rsidRPr="00D27EA1">
        <w:rPr>
          <w:lang w:val="fr-FR"/>
        </w:rPr>
        <w:t>Partenariat</w:t>
      </w:r>
      <w:r w:rsidR="00A657AC" w:rsidRPr="00D27EA1">
        <w:rPr>
          <w:lang w:val="fr-FR"/>
        </w:rPr>
        <w:t>, les considérations quant à la façon d’assurer le suivi de la mise en œuvre des engagements du nouveau Partenariat</w:t>
      </w:r>
      <w:r w:rsidR="00E963E4" w:rsidRPr="00D27EA1">
        <w:rPr>
          <w:lang w:val="fr-FR"/>
        </w:rPr>
        <w:t xml:space="preserve"> ont tenu une place centrale. Son approche </w:t>
      </w:r>
      <w:r w:rsidR="002A3E80" w:rsidRPr="00D27EA1">
        <w:rPr>
          <w:lang w:val="fr-FR"/>
        </w:rPr>
        <w:t>de suivi et les indicateurs s’y rapportant ont été approuvés en juillet 2012</w:t>
      </w:r>
      <w:r w:rsidR="00B811B1" w:rsidRPr="00D27EA1">
        <w:rPr>
          <w:rStyle w:val="FootnoteReference"/>
          <w:lang w:val="fr-FR"/>
        </w:rPr>
        <w:footnoteReference w:id="2"/>
      </w:r>
      <w:r w:rsidR="006F6B06" w:rsidRPr="00D27EA1">
        <w:rPr>
          <w:lang w:val="fr-FR"/>
        </w:rPr>
        <w:t xml:space="preserve">. </w:t>
      </w:r>
      <w:r w:rsidR="00E56867" w:rsidRPr="00D27EA1">
        <w:rPr>
          <w:lang w:val="fr-FR"/>
        </w:rPr>
        <w:t>Ce cadre s’appuie sur les enseignements tirés du suivi de la Déclaration de Paris, dont nombre sont similaires à ceux tirés de l’approche d</w:t>
      </w:r>
      <w:r w:rsidR="00DB1C9B" w:rsidRPr="00D27EA1">
        <w:rPr>
          <w:lang w:val="fr-FR"/>
        </w:rPr>
        <w:t>e</w:t>
      </w:r>
      <w:r w:rsidR="00E56867" w:rsidRPr="00D27EA1">
        <w:rPr>
          <w:lang w:val="fr-FR"/>
        </w:rPr>
        <w:t xml:space="preserve"> </w:t>
      </w:r>
      <w:proofErr w:type="spellStart"/>
      <w:r w:rsidR="00E56867" w:rsidRPr="00D27EA1">
        <w:rPr>
          <w:lang w:val="fr-FR"/>
        </w:rPr>
        <w:t>IHP+</w:t>
      </w:r>
      <w:r w:rsidR="00DB1C9B" w:rsidRPr="00D27EA1">
        <w:rPr>
          <w:lang w:val="fr-FR"/>
        </w:rPr>
        <w:t>Results</w:t>
      </w:r>
      <w:proofErr w:type="spellEnd"/>
      <w:r w:rsidR="00E56867" w:rsidRPr="00D27EA1">
        <w:rPr>
          <w:lang w:val="fr-FR"/>
        </w:rPr>
        <w:t xml:space="preserve">. </w:t>
      </w:r>
      <w:r w:rsidR="008B4CBB" w:rsidRPr="00D27EA1">
        <w:rPr>
          <w:lang w:val="fr-FR"/>
        </w:rPr>
        <w:t>D’importa</w:t>
      </w:r>
      <w:r w:rsidRPr="00D27EA1">
        <w:rPr>
          <w:lang w:val="fr-FR"/>
        </w:rPr>
        <w:t>nts changements en ont résulté</w:t>
      </w:r>
      <w:r w:rsidR="008B4CBB" w:rsidRPr="00D27EA1">
        <w:rPr>
          <w:lang w:val="fr-FR"/>
        </w:rPr>
        <w:t xml:space="preserve"> </w:t>
      </w:r>
      <w:r w:rsidRPr="00D27EA1">
        <w:rPr>
          <w:lang w:val="fr-FR"/>
        </w:rPr>
        <w:t>quant au processus de suivi de l’Accord de partenariat de Busan :</w:t>
      </w:r>
    </w:p>
    <w:p w14:paraId="59E076DE" w14:textId="33C55D50" w:rsidR="00356FDD" w:rsidRPr="00D27EA1" w:rsidRDefault="00356FDD" w:rsidP="00914201">
      <w:pPr>
        <w:pStyle w:val="ListParagraph"/>
        <w:numPr>
          <w:ilvl w:val="0"/>
          <w:numId w:val="32"/>
        </w:numPr>
        <w:spacing w:line="240" w:lineRule="auto"/>
        <w:rPr>
          <w:lang w:val="fr-FR"/>
        </w:rPr>
      </w:pPr>
      <w:r w:rsidRPr="00D27EA1">
        <w:rPr>
          <w:lang w:val="fr-FR"/>
        </w:rPr>
        <w:t xml:space="preserve">Un ensemble modifié de dix indicateurs </w:t>
      </w:r>
      <w:r w:rsidR="00C1083D">
        <w:rPr>
          <w:lang w:val="fr-FR"/>
        </w:rPr>
        <w:t>a</w:t>
      </w:r>
      <w:r w:rsidR="00C1083D" w:rsidRPr="00D27EA1">
        <w:rPr>
          <w:lang w:val="fr-FR"/>
        </w:rPr>
        <w:t xml:space="preserve"> </w:t>
      </w:r>
      <w:r w:rsidRPr="00D27EA1">
        <w:rPr>
          <w:lang w:val="fr-FR"/>
        </w:rPr>
        <w:t xml:space="preserve">été convenu pour le </w:t>
      </w:r>
      <w:r w:rsidR="00A14201" w:rsidRPr="00D27EA1">
        <w:rPr>
          <w:lang w:val="fr-FR"/>
        </w:rPr>
        <w:t xml:space="preserve">compte </w:t>
      </w:r>
      <w:r w:rsidRPr="00D27EA1">
        <w:rPr>
          <w:lang w:val="fr-FR"/>
        </w:rPr>
        <w:t>rendu global (encadré 3 ; annexe 2 pour plus de détails) ;</w:t>
      </w:r>
    </w:p>
    <w:p w14:paraId="634AD68E" w14:textId="297B36F4" w:rsidR="00356FDD" w:rsidRPr="00D27EA1" w:rsidRDefault="00F70F0B" w:rsidP="00B811B1">
      <w:pPr>
        <w:pStyle w:val="ListParagraph"/>
        <w:numPr>
          <w:ilvl w:val="0"/>
          <w:numId w:val="32"/>
        </w:numPr>
        <w:spacing w:line="240" w:lineRule="auto"/>
        <w:rPr>
          <w:lang w:val="fr-FR"/>
        </w:rPr>
      </w:pPr>
      <w:r w:rsidRPr="00D27EA1">
        <w:rPr>
          <w:lang w:val="fr-FR"/>
        </w:rPr>
        <w:t xml:space="preserve">Le suivi se fera </w:t>
      </w:r>
      <w:r w:rsidR="00C1083D">
        <w:rPr>
          <w:lang w:val="fr-FR"/>
        </w:rPr>
        <w:t>sur une base continue</w:t>
      </w:r>
      <w:r w:rsidRPr="00D27EA1">
        <w:rPr>
          <w:lang w:val="fr-FR"/>
        </w:rPr>
        <w:t xml:space="preserve"> au niveau des pays, et non plus par le biais d’une enquête globale. Les rapports </w:t>
      </w:r>
      <w:r w:rsidR="00C1083D">
        <w:rPr>
          <w:lang w:val="fr-FR"/>
        </w:rPr>
        <w:t>mondiaux</w:t>
      </w:r>
      <w:r w:rsidR="00C1083D" w:rsidRPr="00D27EA1">
        <w:rPr>
          <w:lang w:val="fr-FR"/>
        </w:rPr>
        <w:t xml:space="preserve"> </w:t>
      </w:r>
      <w:r w:rsidR="00B60FA4" w:rsidRPr="00D27EA1">
        <w:rPr>
          <w:lang w:val="fr-FR"/>
        </w:rPr>
        <w:t>réguliers</w:t>
      </w:r>
      <w:r w:rsidRPr="00D27EA1">
        <w:rPr>
          <w:lang w:val="fr-FR"/>
        </w:rPr>
        <w:t xml:space="preserve"> se baseront donc sur des données générées par les systèmes nationaux.</w:t>
      </w:r>
      <w:r w:rsidR="00D27EA1">
        <w:rPr>
          <w:lang w:val="fr-FR"/>
        </w:rPr>
        <w:t xml:space="preserve"> </w:t>
      </w:r>
    </w:p>
    <w:p w14:paraId="7155AAD4" w14:textId="2E137F00" w:rsidR="00A95613" w:rsidRPr="00D27EA1" w:rsidRDefault="00A14201" w:rsidP="00B811B1">
      <w:pPr>
        <w:spacing w:line="240" w:lineRule="auto"/>
        <w:rPr>
          <w:lang w:val="fr-FR"/>
        </w:rPr>
      </w:pPr>
      <w:r w:rsidRPr="00D27EA1">
        <w:rPr>
          <w:lang w:val="fr-FR"/>
        </w:rPr>
        <w:lastRenderedPageBreak/>
        <w:t xml:space="preserve">Le compte </w:t>
      </w:r>
      <w:r w:rsidR="00B60FA4" w:rsidRPr="00D27EA1">
        <w:rPr>
          <w:lang w:val="fr-FR"/>
        </w:rPr>
        <w:t>rendu</w:t>
      </w:r>
      <w:r w:rsidR="00C1083D">
        <w:rPr>
          <w:lang w:val="fr-FR"/>
        </w:rPr>
        <w:t xml:space="preserve"> mondial</w:t>
      </w:r>
      <w:r w:rsidR="00B60FA4" w:rsidRPr="00D27EA1">
        <w:rPr>
          <w:lang w:val="fr-FR"/>
        </w:rPr>
        <w:t xml:space="preserve"> </w:t>
      </w:r>
      <w:r w:rsidR="008A3632" w:rsidRPr="00D27EA1">
        <w:rPr>
          <w:lang w:val="fr-FR"/>
        </w:rPr>
        <w:t xml:space="preserve">de l’Accord de partenariat de Busan ne </w:t>
      </w:r>
      <w:r w:rsidR="00C1083D">
        <w:rPr>
          <w:lang w:val="fr-FR"/>
        </w:rPr>
        <w:t>suivra</w:t>
      </w:r>
      <w:r w:rsidR="00C1083D" w:rsidRPr="00D27EA1">
        <w:rPr>
          <w:lang w:val="fr-FR"/>
        </w:rPr>
        <w:t xml:space="preserve"> </w:t>
      </w:r>
      <w:r w:rsidR="008A3632" w:rsidRPr="00D27EA1">
        <w:rPr>
          <w:lang w:val="fr-FR"/>
        </w:rPr>
        <w:t xml:space="preserve">que la coopération </w:t>
      </w:r>
      <w:r w:rsidR="00C1083D">
        <w:rPr>
          <w:lang w:val="fr-FR"/>
        </w:rPr>
        <w:t>en matière de</w:t>
      </w:r>
      <w:r w:rsidR="00C1083D" w:rsidRPr="00D27EA1">
        <w:rPr>
          <w:lang w:val="fr-FR"/>
        </w:rPr>
        <w:t xml:space="preserve"> </w:t>
      </w:r>
      <w:r w:rsidR="008A3632" w:rsidRPr="00D27EA1">
        <w:rPr>
          <w:lang w:val="fr-FR"/>
        </w:rPr>
        <w:t xml:space="preserve">développement dans son ensemble. Mais le nouveau </w:t>
      </w:r>
      <w:r w:rsidR="00287A06" w:rsidRPr="00D27EA1">
        <w:rPr>
          <w:lang w:val="fr-FR"/>
        </w:rPr>
        <w:t xml:space="preserve">Partenariat </w:t>
      </w:r>
      <w:r w:rsidR="008A3632" w:rsidRPr="00D27EA1">
        <w:rPr>
          <w:lang w:val="fr-FR"/>
        </w:rPr>
        <w:t xml:space="preserve">encourage des approches spécifiques à chaque secteur : on considère que le secteur de la santé a ouvert le chemin et le IHP+ a été encouragé à poursuivre le suivi des engagements en matière d’efficacité de l’aide pour la santé. </w:t>
      </w:r>
      <w:r w:rsidRPr="00D27EA1">
        <w:rPr>
          <w:lang w:val="fr-FR"/>
        </w:rPr>
        <w:t xml:space="preserve">En termes de compte </w:t>
      </w:r>
      <w:r w:rsidR="00821D80" w:rsidRPr="00D27EA1">
        <w:rPr>
          <w:lang w:val="fr-FR"/>
        </w:rPr>
        <w:t xml:space="preserve">rendu, le rapport du </w:t>
      </w:r>
      <w:r w:rsidR="0013035D" w:rsidRPr="00D27EA1">
        <w:rPr>
          <w:lang w:val="fr-FR"/>
        </w:rPr>
        <w:t xml:space="preserve">groupe consultatif d'experts indépendant </w:t>
      </w:r>
      <w:r w:rsidR="00821D80" w:rsidRPr="00D27EA1">
        <w:rPr>
          <w:lang w:val="fr-FR"/>
        </w:rPr>
        <w:t>de la Commission de l’information et de la redevabilité pour la santé de la femme et de l’enfant fournit également des enseignements.</w:t>
      </w:r>
    </w:p>
    <w:p w14:paraId="70881F1F" w14:textId="33061DF7" w:rsidR="00485C55" w:rsidRPr="00D27EA1" w:rsidRDefault="0013035D" w:rsidP="00914201">
      <w:pPr>
        <w:spacing w:after="0" w:line="240" w:lineRule="auto"/>
        <w:ind w:left="568"/>
        <w:rPr>
          <w:b/>
          <w:sz w:val="20"/>
          <w:szCs w:val="20"/>
          <w:lang w:val="fr-FR"/>
        </w:rPr>
      </w:pPr>
      <w:r w:rsidRPr="00D27EA1">
        <w:rPr>
          <w:b/>
          <w:sz w:val="20"/>
          <w:szCs w:val="20"/>
          <w:lang w:val="fr-FR"/>
        </w:rPr>
        <w:t>Encadré</w:t>
      </w:r>
      <w:r w:rsidR="00485C55" w:rsidRPr="00D27EA1">
        <w:rPr>
          <w:b/>
          <w:sz w:val="20"/>
          <w:szCs w:val="20"/>
          <w:lang w:val="fr-FR"/>
        </w:rPr>
        <w:t xml:space="preserve"> </w:t>
      </w:r>
      <w:r w:rsidR="007811C2" w:rsidRPr="00D27EA1">
        <w:rPr>
          <w:b/>
          <w:sz w:val="20"/>
          <w:szCs w:val="20"/>
          <w:lang w:val="fr-FR"/>
        </w:rPr>
        <w:t>3</w:t>
      </w:r>
      <w:r w:rsidR="00485C55" w:rsidRPr="00D27EA1">
        <w:rPr>
          <w:b/>
          <w:sz w:val="20"/>
          <w:szCs w:val="20"/>
          <w:lang w:val="fr-FR"/>
        </w:rPr>
        <w:t xml:space="preserve">: </w:t>
      </w:r>
      <w:r w:rsidR="001B00A4" w:rsidRPr="00D27EA1">
        <w:rPr>
          <w:b/>
          <w:sz w:val="20"/>
          <w:szCs w:val="20"/>
          <w:lang w:val="fr-FR"/>
        </w:rPr>
        <w:t xml:space="preserve">Dix indicateurs convenus par le Partenariat global pour </w:t>
      </w:r>
      <w:r w:rsidR="001A54B2" w:rsidRPr="00D27EA1">
        <w:rPr>
          <w:b/>
          <w:sz w:val="20"/>
          <w:szCs w:val="20"/>
          <w:lang w:val="fr-FR"/>
        </w:rPr>
        <w:t xml:space="preserve">une coopération efficace au service du développement </w:t>
      </w:r>
    </w:p>
    <w:p w14:paraId="146936B1" w14:textId="5C880EE9" w:rsidR="00277FF1" w:rsidRPr="00D27EA1" w:rsidRDefault="00787572" w:rsidP="007811C2">
      <w:pPr>
        <w:pStyle w:val="ListParagraph"/>
        <w:numPr>
          <w:ilvl w:val="0"/>
          <w:numId w:val="31"/>
        </w:numPr>
        <w:pBdr>
          <w:top w:val="single" w:sz="4" w:space="1" w:color="auto"/>
        </w:pBdr>
        <w:shd w:val="clear" w:color="auto" w:fill="F2F2F2" w:themeFill="background1" w:themeFillShade="F2"/>
        <w:spacing w:after="0" w:line="240" w:lineRule="auto"/>
        <w:rPr>
          <w:sz w:val="20"/>
          <w:szCs w:val="20"/>
          <w:lang w:val="fr-FR"/>
        </w:rPr>
      </w:pPr>
      <w:r w:rsidRPr="00D27EA1">
        <w:rPr>
          <w:sz w:val="20"/>
          <w:szCs w:val="20"/>
          <w:lang w:val="fr-FR"/>
        </w:rPr>
        <w:t>Cinq indicateurs étaient auparavant utilisé</w:t>
      </w:r>
      <w:r w:rsidR="005B2BB9" w:rsidRPr="00D27EA1">
        <w:rPr>
          <w:sz w:val="20"/>
          <w:szCs w:val="20"/>
          <w:lang w:val="fr-FR"/>
        </w:rPr>
        <w:t>s</w:t>
      </w:r>
      <w:r w:rsidRPr="00D27EA1">
        <w:rPr>
          <w:sz w:val="20"/>
          <w:szCs w:val="20"/>
          <w:lang w:val="fr-FR"/>
        </w:rPr>
        <w:t xml:space="preserve"> dans l’enquête de Paris, reflétant un travail </w:t>
      </w:r>
      <w:r w:rsidR="00287A06" w:rsidRPr="00D27EA1">
        <w:rPr>
          <w:sz w:val="20"/>
          <w:szCs w:val="20"/>
          <w:lang w:val="fr-FR"/>
        </w:rPr>
        <w:t xml:space="preserve">important </w:t>
      </w:r>
      <w:r w:rsidRPr="00D27EA1">
        <w:rPr>
          <w:sz w:val="20"/>
          <w:szCs w:val="20"/>
          <w:lang w:val="fr-FR"/>
        </w:rPr>
        <w:t xml:space="preserve">inachevé. </w:t>
      </w:r>
      <w:r w:rsidR="00505D7D" w:rsidRPr="00D27EA1">
        <w:rPr>
          <w:sz w:val="20"/>
          <w:szCs w:val="20"/>
          <w:lang w:val="fr-FR"/>
        </w:rPr>
        <w:t xml:space="preserve">Un certain nombre d’indicateurs de Paris « difficiles à mesurer » ont été abandonnés. </w:t>
      </w:r>
    </w:p>
    <w:p w14:paraId="09989F5A" w14:textId="3CFBDF78" w:rsidR="00505D7D" w:rsidRPr="00D27EA1" w:rsidRDefault="005B2BB9" w:rsidP="007811C2">
      <w:pPr>
        <w:pStyle w:val="ListParagraph"/>
        <w:numPr>
          <w:ilvl w:val="0"/>
          <w:numId w:val="31"/>
        </w:numPr>
        <w:pBdr>
          <w:top w:val="single" w:sz="4" w:space="1" w:color="auto"/>
        </w:pBdr>
        <w:shd w:val="clear" w:color="auto" w:fill="F2F2F2" w:themeFill="background1" w:themeFillShade="F2"/>
        <w:spacing w:after="0" w:line="240" w:lineRule="auto"/>
        <w:rPr>
          <w:sz w:val="20"/>
          <w:szCs w:val="20"/>
          <w:lang w:val="fr-FR"/>
        </w:rPr>
      </w:pPr>
      <w:r w:rsidRPr="00D27EA1">
        <w:rPr>
          <w:sz w:val="20"/>
          <w:szCs w:val="20"/>
          <w:lang w:val="fr-FR"/>
        </w:rPr>
        <w:t xml:space="preserve">Cinq indicateurs sont nouveaux : l’utilisation des cadres de résultats des pays, </w:t>
      </w:r>
      <w:r w:rsidR="0023393F" w:rsidRPr="00D27EA1">
        <w:rPr>
          <w:sz w:val="20"/>
          <w:szCs w:val="20"/>
          <w:lang w:val="fr-FR"/>
        </w:rPr>
        <w:t xml:space="preserve">un </w:t>
      </w:r>
      <w:r w:rsidR="00DD2611" w:rsidRPr="00D27EA1">
        <w:rPr>
          <w:sz w:val="20"/>
          <w:szCs w:val="20"/>
          <w:lang w:val="fr-FR"/>
        </w:rPr>
        <w:t>secteur privé</w:t>
      </w:r>
      <w:r w:rsidR="0023393F" w:rsidRPr="00D27EA1">
        <w:rPr>
          <w:sz w:val="20"/>
          <w:szCs w:val="20"/>
          <w:lang w:val="fr-FR"/>
        </w:rPr>
        <w:t xml:space="preserve"> favorable</w:t>
      </w:r>
      <w:r w:rsidR="00DD2611" w:rsidRPr="00D27EA1">
        <w:rPr>
          <w:sz w:val="20"/>
          <w:szCs w:val="20"/>
          <w:lang w:val="fr-FR"/>
        </w:rPr>
        <w:t xml:space="preserve">, </w:t>
      </w:r>
      <w:r w:rsidR="0023393F" w:rsidRPr="00D27EA1">
        <w:rPr>
          <w:sz w:val="20"/>
          <w:szCs w:val="20"/>
          <w:lang w:val="fr-FR"/>
        </w:rPr>
        <w:t xml:space="preserve">un </w:t>
      </w:r>
      <w:r w:rsidR="00DD2611" w:rsidRPr="00D27EA1">
        <w:rPr>
          <w:sz w:val="20"/>
          <w:szCs w:val="20"/>
          <w:lang w:val="fr-FR"/>
        </w:rPr>
        <w:t xml:space="preserve">engagement </w:t>
      </w:r>
      <w:r w:rsidR="00092E2D" w:rsidRPr="00D27EA1">
        <w:rPr>
          <w:sz w:val="20"/>
          <w:szCs w:val="20"/>
          <w:lang w:val="fr-FR"/>
        </w:rPr>
        <w:t xml:space="preserve">favorable </w:t>
      </w:r>
      <w:r w:rsidR="00DD2611" w:rsidRPr="00D27EA1">
        <w:rPr>
          <w:sz w:val="20"/>
          <w:szCs w:val="20"/>
          <w:lang w:val="fr-FR"/>
        </w:rPr>
        <w:t xml:space="preserve">des organisations de la société civile, le </w:t>
      </w:r>
      <w:r w:rsidR="0091724C">
        <w:rPr>
          <w:sz w:val="20"/>
          <w:szCs w:val="20"/>
          <w:lang w:val="fr-FR"/>
        </w:rPr>
        <w:t>genre</w:t>
      </w:r>
      <w:r w:rsidR="0091724C" w:rsidRPr="00D27EA1">
        <w:rPr>
          <w:sz w:val="20"/>
          <w:szCs w:val="20"/>
          <w:lang w:val="fr-FR"/>
        </w:rPr>
        <w:t xml:space="preserve"> </w:t>
      </w:r>
      <w:r w:rsidR="00DD2611" w:rsidRPr="00D27EA1">
        <w:rPr>
          <w:sz w:val="20"/>
          <w:szCs w:val="20"/>
          <w:lang w:val="fr-FR"/>
        </w:rPr>
        <w:t xml:space="preserve">et la transparence. Tous n’ont pas encore des stratégies de mesure, mais les travaux se poursuivent. </w:t>
      </w:r>
    </w:p>
    <w:p w14:paraId="7E8DAE37" w14:textId="77A0E8AF" w:rsidR="003161F0" w:rsidRPr="00D27EA1" w:rsidRDefault="00DD2611" w:rsidP="00914201">
      <w:pPr>
        <w:pStyle w:val="ListParagraph"/>
        <w:numPr>
          <w:ilvl w:val="0"/>
          <w:numId w:val="31"/>
        </w:numPr>
        <w:pBdr>
          <w:bottom w:val="single" w:sz="4" w:space="1" w:color="auto"/>
        </w:pBdr>
        <w:shd w:val="clear" w:color="auto" w:fill="F2F2F2" w:themeFill="background1" w:themeFillShade="F2"/>
        <w:spacing w:after="0" w:line="240" w:lineRule="auto"/>
        <w:rPr>
          <w:sz w:val="20"/>
          <w:szCs w:val="20"/>
          <w:lang w:val="fr-FR"/>
        </w:rPr>
      </w:pPr>
      <w:r w:rsidRPr="00D27EA1">
        <w:rPr>
          <w:sz w:val="20"/>
          <w:szCs w:val="20"/>
          <w:lang w:val="fr-FR"/>
        </w:rPr>
        <w:t xml:space="preserve">Parmi les dix indicateurs, six ont déjà été adaptés pour le secteur de la santé et sont suivis par </w:t>
      </w:r>
      <w:proofErr w:type="spellStart"/>
      <w:r w:rsidRPr="00D27EA1">
        <w:rPr>
          <w:sz w:val="20"/>
          <w:szCs w:val="20"/>
          <w:lang w:val="fr-FR"/>
        </w:rPr>
        <w:t>IHP+Results</w:t>
      </w:r>
      <w:proofErr w:type="spellEnd"/>
      <w:r w:rsidRPr="00D27EA1">
        <w:rPr>
          <w:sz w:val="20"/>
          <w:szCs w:val="20"/>
          <w:lang w:val="fr-FR"/>
        </w:rPr>
        <w:t xml:space="preserve"> (voir l’annexe 2 pour plus de détails)</w:t>
      </w:r>
      <w:r w:rsidR="00B811B1" w:rsidRPr="00D27EA1">
        <w:rPr>
          <w:sz w:val="20"/>
          <w:szCs w:val="20"/>
          <w:lang w:val="fr-FR"/>
        </w:rPr>
        <w:t>.</w:t>
      </w:r>
      <w:r w:rsidR="009E7772" w:rsidRPr="00D27EA1">
        <w:rPr>
          <w:sz w:val="20"/>
          <w:szCs w:val="20"/>
          <w:lang w:val="fr-FR"/>
        </w:rPr>
        <w:t xml:space="preserve"> </w:t>
      </w:r>
    </w:p>
    <w:p w14:paraId="0B5088EC" w14:textId="3CA13561" w:rsidR="00587ADC" w:rsidRDefault="00FF254E" w:rsidP="0079084B">
      <w:pPr>
        <w:spacing w:before="240" w:line="240" w:lineRule="auto"/>
        <w:rPr>
          <w:lang w:val="fr-FR"/>
        </w:rPr>
      </w:pPr>
      <w:r w:rsidRPr="00D27EA1">
        <w:rPr>
          <w:lang w:val="fr-FR"/>
        </w:rPr>
        <w:t xml:space="preserve">Pour les partenaires du IHP+, le moment est venu de faire le point et de décider de la future approche </w:t>
      </w:r>
      <w:r w:rsidR="00D32351" w:rsidRPr="00D27EA1">
        <w:rPr>
          <w:lang w:val="fr-FR"/>
        </w:rPr>
        <w:t xml:space="preserve">pour le suivi des engagements, laquelle continuera d’être menée par les signataires du IHP+ </w:t>
      </w:r>
      <w:r w:rsidR="001D680D" w:rsidRPr="00D27EA1">
        <w:rPr>
          <w:lang w:val="fr-FR"/>
        </w:rPr>
        <w:t>mais qui pourrait s’avérer pertinente pour d’autres.</w:t>
      </w:r>
      <w:r w:rsidR="00D27EA1">
        <w:rPr>
          <w:lang w:val="fr-FR"/>
        </w:rPr>
        <w:t xml:space="preserve"> </w:t>
      </w:r>
    </w:p>
    <w:p w14:paraId="490BD174" w14:textId="77777777" w:rsidR="00D27EA1" w:rsidRPr="00D27EA1" w:rsidRDefault="00D27EA1" w:rsidP="00D27EA1">
      <w:pPr>
        <w:spacing w:after="120" w:line="240" w:lineRule="auto"/>
        <w:rPr>
          <w:lang w:val="fr-FR"/>
        </w:rPr>
      </w:pPr>
    </w:p>
    <w:p w14:paraId="386D7116" w14:textId="4123B071" w:rsidR="0021644E" w:rsidRPr="00D27EA1" w:rsidRDefault="00646BC1" w:rsidP="00D27EA1">
      <w:pPr>
        <w:spacing w:after="120"/>
        <w:outlineLvl w:val="0"/>
        <w:rPr>
          <w:b/>
          <w:bCs/>
          <w:sz w:val="24"/>
          <w:szCs w:val="24"/>
          <w:lang w:val="fr-FR"/>
        </w:rPr>
      </w:pPr>
      <w:r w:rsidRPr="00D27EA1">
        <w:rPr>
          <w:b/>
          <w:bCs/>
          <w:sz w:val="24"/>
          <w:szCs w:val="24"/>
          <w:lang w:val="fr-FR"/>
        </w:rPr>
        <w:t xml:space="preserve">Aller de l’avant dans le IHP+ </w:t>
      </w:r>
      <w:r w:rsidR="003A1509" w:rsidRPr="00D27EA1">
        <w:rPr>
          <w:b/>
          <w:bCs/>
          <w:sz w:val="24"/>
          <w:szCs w:val="24"/>
          <w:lang w:val="fr-FR"/>
        </w:rPr>
        <w:t>sur la base des enseignements</w:t>
      </w:r>
    </w:p>
    <w:p w14:paraId="1B41897F" w14:textId="3CEFA78B" w:rsidR="00143322" w:rsidRPr="00D27EA1" w:rsidRDefault="00AB0472" w:rsidP="00B0147D">
      <w:pPr>
        <w:spacing w:line="240" w:lineRule="auto"/>
        <w:rPr>
          <w:lang w:val="fr-FR"/>
        </w:rPr>
      </w:pPr>
      <w:r w:rsidRPr="00D27EA1">
        <w:rPr>
          <w:lang w:val="fr-FR"/>
        </w:rPr>
        <w:t>En juillet 2012, l’</w:t>
      </w:r>
      <w:r w:rsidR="00B13113" w:rsidRPr="00D27EA1">
        <w:rPr>
          <w:lang w:val="fr-FR"/>
        </w:rPr>
        <w:t>É</w:t>
      </w:r>
      <w:r w:rsidRPr="00D27EA1">
        <w:rPr>
          <w:lang w:val="fr-FR"/>
        </w:rPr>
        <w:t xml:space="preserve">quipe de direction du IHP+ a </w:t>
      </w:r>
      <w:r w:rsidR="0060542C" w:rsidRPr="00D27EA1">
        <w:rPr>
          <w:lang w:val="fr-FR"/>
        </w:rPr>
        <w:t>reconfirmé</w:t>
      </w:r>
      <w:r w:rsidRPr="00D27EA1">
        <w:rPr>
          <w:lang w:val="fr-FR"/>
        </w:rPr>
        <w:t xml:space="preserve"> l’engagement du IHP+ </w:t>
      </w:r>
      <w:r w:rsidR="009326AB" w:rsidRPr="00D27EA1">
        <w:rPr>
          <w:lang w:val="fr-FR"/>
        </w:rPr>
        <w:t xml:space="preserve">pour un suivi régulier de la performance, et </w:t>
      </w:r>
      <w:r w:rsidR="0060542C" w:rsidRPr="00D27EA1">
        <w:rPr>
          <w:lang w:val="fr-FR"/>
        </w:rPr>
        <w:t xml:space="preserve">reconnu que c’était un instrument important pour promouvoir la redevabilité mutuelle. </w:t>
      </w:r>
      <w:r w:rsidR="00B13113" w:rsidRPr="00D27EA1">
        <w:rPr>
          <w:lang w:val="fr-FR"/>
        </w:rPr>
        <w:t xml:space="preserve">Elle a souligné la nécessité de continuer d’adapter l’approche ; </w:t>
      </w:r>
      <w:r w:rsidR="00883622" w:rsidRPr="00D27EA1">
        <w:rPr>
          <w:lang w:val="fr-FR"/>
        </w:rPr>
        <w:t>de l’insérer davantage dans les processus nationaux, et d’éviter la duplication avec d’autres activités de suivi de l’aide</w:t>
      </w:r>
      <w:r w:rsidR="00C67CDE" w:rsidRPr="00D27EA1">
        <w:rPr>
          <w:rStyle w:val="FootnoteReference"/>
          <w:b/>
          <w:lang w:val="fr-FR"/>
        </w:rPr>
        <w:footnoteReference w:id="3"/>
      </w:r>
      <w:r w:rsidR="00C67CDE" w:rsidRPr="00D27EA1">
        <w:rPr>
          <w:lang w:val="fr-FR"/>
        </w:rPr>
        <w:t>.</w:t>
      </w:r>
      <w:r w:rsidR="00883622" w:rsidRPr="00D27EA1">
        <w:rPr>
          <w:lang w:val="fr-FR"/>
        </w:rPr>
        <w:t xml:space="preserve"> </w:t>
      </w:r>
      <w:r w:rsidR="00263740" w:rsidRPr="00D27EA1">
        <w:rPr>
          <w:lang w:val="fr-FR"/>
        </w:rPr>
        <w:t xml:space="preserve">Elle a </w:t>
      </w:r>
      <w:r w:rsidR="00803ACB" w:rsidRPr="00D27EA1">
        <w:rPr>
          <w:lang w:val="fr-FR"/>
        </w:rPr>
        <w:t>convenu</w:t>
      </w:r>
      <w:r w:rsidR="00263740" w:rsidRPr="00D27EA1">
        <w:rPr>
          <w:lang w:val="fr-FR"/>
        </w:rPr>
        <w:t xml:space="preserve"> que le Groupe de travail sur la redevabilité mutuelle du IHP+</w:t>
      </w:r>
      <w:r w:rsidR="00143322" w:rsidRPr="00D27EA1">
        <w:rPr>
          <w:rStyle w:val="FootnoteReference"/>
          <w:lang w:val="fr-FR"/>
        </w:rPr>
        <w:footnoteReference w:id="4"/>
      </w:r>
      <w:r w:rsidR="005B4DE7" w:rsidRPr="00D27EA1">
        <w:rPr>
          <w:lang w:val="fr-FR"/>
        </w:rPr>
        <w:t xml:space="preserve"> </w:t>
      </w:r>
      <w:r w:rsidR="00A14201" w:rsidRPr="00D27EA1">
        <w:rPr>
          <w:lang w:val="fr-FR"/>
        </w:rPr>
        <w:t xml:space="preserve">devait être </w:t>
      </w:r>
      <w:proofErr w:type="spellStart"/>
      <w:r w:rsidR="00A14201" w:rsidRPr="00D27EA1">
        <w:rPr>
          <w:lang w:val="fr-FR"/>
        </w:rPr>
        <w:t>reconvoqué</w:t>
      </w:r>
      <w:proofErr w:type="spellEnd"/>
      <w:r w:rsidR="00EA1EB4" w:rsidRPr="00D27EA1">
        <w:rPr>
          <w:lang w:val="fr-FR"/>
        </w:rPr>
        <w:t>, afin d’examiner les enseignements tirés du suivi de l’efficacité de l’aide, tant pour le secteur de la santé que pour le gouvernement dans son entier, et d’utiliser ceci comme fondement pour convenir d’une approche future.</w:t>
      </w:r>
    </w:p>
    <w:p w14:paraId="3C449717" w14:textId="1A1E49E1" w:rsidR="00D8318A" w:rsidRPr="00D27EA1" w:rsidRDefault="00A44E77" w:rsidP="00D8318A">
      <w:pPr>
        <w:spacing w:before="240" w:after="240" w:line="240" w:lineRule="auto"/>
        <w:rPr>
          <w:lang w:val="fr-FR"/>
        </w:rPr>
      </w:pPr>
      <w:r w:rsidRPr="00D27EA1">
        <w:rPr>
          <w:lang w:val="fr-FR"/>
        </w:rPr>
        <w:t xml:space="preserve">Le Groupe de travail sur la redevabilité mutuelle du IHP+ </w:t>
      </w:r>
      <w:r w:rsidR="00640F76" w:rsidRPr="00D27EA1">
        <w:rPr>
          <w:lang w:val="fr-FR"/>
        </w:rPr>
        <w:t>s’est réuni le 5 octobre. Il a convenu des principes suivants pour le suivi futur des engagements pour l’efficacité de l’aide pour la santé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16894" w:rsidRPr="004545B0" w14:paraId="7B388857" w14:textId="77777777" w:rsidTr="00D8318A">
        <w:tc>
          <w:tcPr>
            <w:tcW w:w="9360" w:type="dxa"/>
            <w:tcBorders>
              <w:bottom w:val="single" w:sz="4" w:space="0" w:color="auto"/>
            </w:tcBorders>
          </w:tcPr>
          <w:p w14:paraId="2E6531E9" w14:textId="48084050" w:rsidR="00507156" w:rsidRPr="00D27EA1" w:rsidRDefault="00367165" w:rsidP="00D27EA1">
            <w:pPr>
              <w:ind w:left="568"/>
              <w:rPr>
                <w:b/>
                <w:sz w:val="20"/>
                <w:szCs w:val="20"/>
                <w:lang w:val="fr-FR"/>
              </w:rPr>
            </w:pPr>
            <w:r w:rsidRPr="00D27EA1">
              <w:rPr>
                <w:b/>
                <w:sz w:val="20"/>
                <w:szCs w:val="20"/>
                <w:lang w:val="fr-FR"/>
              </w:rPr>
              <w:t xml:space="preserve">Encadré </w:t>
            </w:r>
            <w:r w:rsidR="00E84862" w:rsidRPr="00D27EA1">
              <w:rPr>
                <w:b/>
                <w:sz w:val="20"/>
                <w:szCs w:val="20"/>
                <w:lang w:val="fr-FR"/>
              </w:rPr>
              <w:t>4</w:t>
            </w:r>
            <w:r w:rsidR="00507156" w:rsidRPr="00D27EA1">
              <w:rPr>
                <w:b/>
                <w:sz w:val="20"/>
                <w:szCs w:val="20"/>
                <w:lang w:val="fr-FR"/>
              </w:rPr>
              <w:t xml:space="preserve">: </w:t>
            </w:r>
            <w:r w:rsidR="00AE4C30" w:rsidRPr="00D27EA1">
              <w:rPr>
                <w:b/>
                <w:sz w:val="20"/>
                <w:szCs w:val="20"/>
                <w:lang w:val="fr-FR"/>
              </w:rPr>
              <w:t>Principes pour le suivi futur des engagements pour l’efficacité de l’aide pour la santé</w:t>
            </w:r>
          </w:p>
        </w:tc>
      </w:tr>
      <w:tr w:rsidR="00C16894" w:rsidRPr="004545B0" w14:paraId="429CDC93" w14:textId="77777777" w:rsidTr="0036437F">
        <w:tc>
          <w:tcPr>
            <w:tcW w:w="9360" w:type="dxa"/>
            <w:tcBorders>
              <w:top w:val="single" w:sz="4" w:space="0" w:color="auto"/>
            </w:tcBorders>
            <w:shd w:val="clear" w:color="auto" w:fill="auto"/>
          </w:tcPr>
          <w:p w14:paraId="2C6BE86E" w14:textId="0C2A175F" w:rsidR="00877A14" w:rsidRPr="00D27EA1" w:rsidRDefault="007C4ADF" w:rsidP="00D66B76">
            <w:pPr>
              <w:pStyle w:val="ListParagraph"/>
              <w:numPr>
                <w:ilvl w:val="0"/>
                <w:numId w:val="31"/>
              </w:numPr>
              <w:shd w:val="clear" w:color="auto" w:fill="F2F2F2" w:themeFill="background1" w:themeFillShade="F2"/>
              <w:rPr>
                <w:sz w:val="20"/>
                <w:szCs w:val="20"/>
                <w:lang w:val="fr-FR"/>
              </w:rPr>
            </w:pPr>
            <w:r w:rsidRPr="00D27EA1">
              <w:rPr>
                <w:sz w:val="20"/>
                <w:szCs w:val="20"/>
                <w:lang w:val="fr-FR"/>
              </w:rPr>
              <w:t xml:space="preserve">Continuer le suivi de l’efficacité de l’aide </w:t>
            </w:r>
            <w:r w:rsidR="005E7725" w:rsidRPr="00D27EA1">
              <w:rPr>
                <w:sz w:val="20"/>
                <w:szCs w:val="20"/>
                <w:lang w:val="fr-FR"/>
              </w:rPr>
              <w:t xml:space="preserve">spécifique au secteur de la santé – il soulève des questions utiles au sujet du progrès. Le </w:t>
            </w:r>
            <w:r w:rsidR="00BA16C1" w:rsidRPr="00D27EA1">
              <w:rPr>
                <w:sz w:val="20"/>
                <w:szCs w:val="20"/>
                <w:lang w:val="fr-FR"/>
              </w:rPr>
              <w:t>main</w:t>
            </w:r>
            <w:r w:rsidR="005E7725" w:rsidRPr="00D27EA1">
              <w:rPr>
                <w:sz w:val="20"/>
                <w:szCs w:val="20"/>
                <w:lang w:val="fr-FR"/>
              </w:rPr>
              <w:t>tenir volontaire.</w:t>
            </w:r>
            <w:r w:rsidR="00CB645E" w:rsidRPr="00D27EA1">
              <w:rPr>
                <w:sz w:val="20"/>
                <w:szCs w:val="20"/>
                <w:lang w:val="fr-FR"/>
              </w:rPr>
              <w:t xml:space="preserve"> </w:t>
            </w:r>
          </w:p>
          <w:p w14:paraId="42611BDD" w14:textId="0EB5366E" w:rsidR="007C4ADF" w:rsidRPr="00D27EA1" w:rsidRDefault="005E7725" w:rsidP="004545B0">
            <w:pPr>
              <w:pStyle w:val="ListParagraph"/>
              <w:numPr>
                <w:ilvl w:val="0"/>
                <w:numId w:val="31"/>
              </w:numPr>
              <w:shd w:val="clear" w:color="auto" w:fill="F2F2F2" w:themeFill="background1" w:themeFillShade="F2"/>
              <w:rPr>
                <w:sz w:val="20"/>
                <w:szCs w:val="20"/>
                <w:lang w:val="fr-FR"/>
              </w:rPr>
            </w:pPr>
            <w:r w:rsidRPr="00D27EA1">
              <w:rPr>
                <w:sz w:val="20"/>
                <w:szCs w:val="20"/>
                <w:lang w:val="fr-FR"/>
              </w:rPr>
              <w:t>Mettre l’accent sur le suivi au niveau des pays</w:t>
            </w:r>
            <w:r w:rsidR="0075019D" w:rsidRPr="00D27EA1">
              <w:rPr>
                <w:sz w:val="20"/>
                <w:szCs w:val="20"/>
                <w:lang w:val="fr-FR"/>
              </w:rPr>
              <w:t xml:space="preserve"> – </w:t>
            </w:r>
            <w:r w:rsidR="005D0A9C" w:rsidRPr="00D27EA1">
              <w:rPr>
                <w:sz w:val="20"/>
                <w:szCs w:val="20"/>
                <w:lang w:val="fr-FR"/>
              </w:rPr>
              <w:t>tout en maintenant</w:t>
            </w:r>
            <w:r w:rsidRPr="00D27EA1">
              <w:rPr>
                <w:sz w:val="20"/>
                <w:szCs w:val="20"/>
                <w:lang w:val="fr-FR"/>
              </w:rPr>
              <w:t xml:space="preserve"> une forme de compte</w:t>
            </w:r>
            <w:r w:rsidR="003A4E76" w:rsidRPr="00D27EA1">
              <w:rPr>
                <w:sz w:val="20"/>
                <w:szCs w:val="20"/>
                <w:lang w:val="fr-FR"/>
              </w:rPr>
              <w:t xml:space="preserve"> </w:t>
            </w:r>
            <w:r w:rsidRPr="00D27EA1">
              <w:rPr>
                <w:sz w:val="20"/>
                <w:szCs w:val="20"/>
                <w:lang w:val="fr-FR"/>
              </w:rPr>
              <w:t xml:space="preserve">rendu </w:t>
            </w:r>
            <w:r w:rsidR="005D0A9C" w:rsidRPr="00D27EA1">
              <w:rPr>
                <w:sz w:val="20"/>
                <w:szCs w:val="20"/>
                <w:lang w:val="fr-FR"/>
              </w:rPr>
              <w:t>global</w:t>
            </w:r>
            <w:r w:rsidRPr="00D27EA1">
              <w:rPr>
                <w:sz w:val="20"/>
                <w:szCs w:val="20"/>
                <w:lang w:val="fr-FR"/>
              </w:rPr>
              <w:t xml:space="preserve"> </w:t>
            </w:r>
            <w:r w:rsidRPr="00D27EA1">
              <w:rPr>
                <w:sz w:val="20"/>
                <w:szCs w:val="20"/>
                <w:lang w:val="fr-FR"/>
              </w:rPr>
              <w:lastRenderedPageBreak/>
              <w:t xml:space="preserve">afin de bénéficier de la pression exercée par les pairs au niveau </w:t>
            </w:r>
            <w:r w:rsidR="0075019D" w:rsidRPr="00D27EA1">
              <w:rPr>
                <w:sz w:val="20"/>
                <w:szCs w:val="20"/>
                <w:lang w:val="fr-FR"/>
              </w:rPr>
              <w:t>mondial</w:t>
            </w:r>
            <w:r w:rsidR="004413AE">
              <w:rPr>
                <w:sz w:val="20"/>
                <w:szCs w:val="20"/>
                <w:lang w:val="fr-FR"/>
              </w:rPr>
              <w:t>, sans utiliser une enquête mondiale pour collecter les données</w:t>
            </w:r>
            <w:r w:rsidR="005D0A9C" w:rsidRPr="00D27EA1">
              <w:rPr>
                <w:sz w:val="20"/>
                <w:szCs w:val="20"/>
                <w:lang w:val="fr-FR"/>
              </w:rPr>
              <w:t>.</w:t>
            </w:r>
          </w:p>
          <w:p w14:paraId="42D3637F" w14:textId="12286BD8" w:rsidR="005E7725" w:rsidRPr="00D27EA1" w:rsidRDefault="002D55EA" w:rsidP="00DB62C7">
            <w:pPr>
              <w:pStyle w:val="ListParagraph"/>
              <w:numPr>
                <w:ilvl w:val="0"/>
                <w:numId w:val="31"/>
              </w:numPr>
              <w:shd w:val="clear" w:color="auto" w:fill="F2F2F2" w:themeFill="background1" w:themeFillShade="F2"/>
              <w:rPr>
                <w:sz w:val="20"/>
                <w:szCs w:val="20"/>
                <w:lang w:val="fr-FR"/>
              </w:rPr>
            </w:pPr>
            <w:r w:rsidRPr="00D27EA1">
              <w:rPr>
                <w:sz w:val="20"/>
                <w:szCs w:val="20"/>
                <w:lang w:val="fr-FR"/>
              </w:rPr>
              <w:t xml:space="preserve">Convenir d’un ensemble </w:t>
            </w:r>
            <w:r w:rsidR="003A4E76" w:rsidRPr="00D27EA1">
              <w:rPr>
                <w:sz w:val="20"/>
                <w:szCs w:val="20"/>
                <w:lang w:val="fr-FR"/>
              </w:rPr>
              <w:t xml:space="preserve">minimal </w:t>
            </w:r>
            <w:r w:rsidRPr="00D27EA1">
              <w:rPr>
                <w:sz w:val="20"/>
                <w:szCs w:val="20"/>
                <w:lang w:val="fr-FR"/>
              </w:rPr>
              <w:t>d’indicateurs, fondés sur certains des indicateurs convenus à Busan ; les critères de sélection devrai</w:t>
            </w:r>
            <w:r w:rsidR="00B43A0C" w:rsidRPr="00D27EA1">
              <w:rPr>
                <w:sz w:val="20"/>
                <w:szCs w:val="20"/>
                <w:lang w:val="fr-FR"/>
              </w:rPr>
              <w:t>en</w:t>
            </w:r>
            <w:r w:rsidRPr="00D27EA1">
              <w:rPr>
                <w:sz w:val="20"/>
                <w:szCs w:val="20"/>
                <w:lang w:val="fr-FR"/>
              </w:rPr>
              <w:t xml:space="preserve">t inclure la pertinence, l’importance et la mesurabilité. </w:t>
            </w:r>
          </w:p>
        </w:tc>
      </w:tr>
      <w:tr w:rsidR="00C16894" w:rsidRPr="007440F8" w14:paraId="3F00F7F6" w14:textId="77777777" w:rsidTr="00D8318A">
        <w:trPr>
          <w:trHeight w:val="530"/>
        </w:trPr>
        <w:tc>
          <w:tcPr>
            <w:tcW w:w="9360" w:type="dxa"/>
            <w:shd w:val="clear" w:color="auto" w:fill="auto"/>
          </w:tcPr>
          <w:p w14:paraId="3753FE7A" w14:textId="297F287A" w:rsidR="00A30FD2" w:rsidRPr="00D27EA1" w:rsidRDefault="002D55EA" w:rsidP="00D66B76">
            <w:pPr>
              <w:pStyle w:val="ListParagraph"/>
              <w:numPr>
                <w:ilvl w:val="0"/>
                <w:numId w:val="31"/>
              </w:numPr>
              <w:shd w:val="clear" w:color="auto" w:fill="F2F2F2" w:themeFill="background1" w:themeFillShade="F2"/>
              <w:rPr>
                <w:sz w:val="20"/>
                <w:szCs w:val="20"/>
                <w:lang w:val="fr-FR"/>
              </w:rPr>
            </w:pPr>
            <w:r w:rsidRPr="00D27EA1">
              <w:rPr>
                <w:sz w:val="20"/>
                <w:szCs w:val="20"/>
                <w:lang w:val="fr-FR"/>
              </w:rPr>
              <w:lastRenderedPageBreak/>
              <w:t xml:space="preserve">Les indicateurs devraient refléter </w:t>
            </w:r>
            <w:r w:rsidR="00A30FD2" w:rsidRPr="00D27EA1">
              <w:rPr>
                <w:sz w:val="20"/>
                <w:szCs w:val="20"/>
                <w:lang w:val="fr-FR"/>
              </w:rPr>
              <w:t>les engagements du gouvernement et des partenaires du développement.</w:t>
            </w:r>
          </w:p>
          <w:p w14:paraId="68166A82" w14:textId="56601C0C" w:rsidR="0036437F" w:rsidRPr="00D27EA1" w:rsidRDefault="00890B85" w:rsidP="00D66B76">
            <w:pPr>
              <w:pStyle w:val="ListParagraph"/>
              <w:numPr>
                <w:ilvl w:val="0"/>
                <w:numId w:val="31"/>
              </w:numPr>
              <w:shd w:val="clear" w:color="auto" w:fill="F2F2F2" w:themeFill="background1" w:themeFillShade="F2"/>
              <w:rPr>
                <w:sz w:val="20"/>
                <w:szCs w:val="20"/>
                <w:lang w:val="fr-FR"/>
              </w:rPr>
            </w:pPr>
            <w:r w:rsidRPr="00D27EA1">
              <w:rPr>
                <w:sz w:val="20"/>
                <w:szCs w:val="20"/>
                <w:lang w:val="fr-FR"/>
              </w:rPr>
              <w:t>Trouver d</w:t>
            </w:r>
            <w:r w:rsidR="00A30FD2" w:rsidRPr="00D27EA1">
              <w:rPr>
                <w:sz w:val="20"/>
                <w:szCs w:val="20"/>
                <w:lang w:val="fr-FR"/>
              </w:rPr>
              <w:t xml:space="preserve">es </w:t>
            </w:r>
            <w:r w:rsidR="003A4E76" w:rsidRPr="00D27EA1">
              <w:rPr>
                <w:sz w:val="20"/>
                <w:szCs w:val="20"/>
                <w:lang w:val="fr-FR"/>
              </w:rPr>
              <w:t>façons</w:t>
            </w:r>
            <w:r w:rsidRPr="00D27EA1">
              <w:rPr>
                <w:sz w:val="20"/>
                <w:szCs w:val="20"/>
                <w:lang w:val="fr-FR"/>
              </w:rPr>
              <w:t>, peu exigeantes en termes de transaction,</w:t>
            </w:r>
            <w:r w:rsidR="00A30FD2" w:rsidRPr="00D27EA1">
              <w:rPr>
                <w:sz w:val="20"/>
                <w:szCs w:val="20"/>
                <w:lang w:val="fr-FR"/>
              </w:rPr>
              <w:t xml:space="preserve"> </w:t>
            </w:r>
            <w:r w:rsidRPr="00D27EA1">
              <w:rPr>
                <w:sz w:val="20"/>
                <w:szCs w:val="20"/>
                <w:lang w:val="fr-FR"/>
              </w:rPr>
              <w:t xml:space="preserve">de saisir </w:t>
            </w:r>
            <w:r w:rsidR="00B43A0C" w:rsidRPr="00D27EA1">
              <w:rPr>
                <w:sz w:val="20"/>
                <w:szCs w:val="20"/>
                <w:lang w:val="fr-FR"/>
              </w:rPr>
              <w:t>l</w:t>
            </w:r>
            <w:r w:rsidRPr="00D27EA1">
              <w:rPr>
                <w:sz w:val="20"/>
                <w:szCs w:val="20"/>
                <w:lang w:val="fr-FR"/>
              </w:rPr>
              <w:t>es aspects qualitatifs importants d</w:t>
            </w:r>
            <w:r w:rsidR="001F4594" w:rsidRPr="00D27EA1">
              <w:rPr>
                <w:sz w:val="20"/>
                <w:szCs w:val="20"/>
                <w:lang w:val="fr-FR"/>
              </w:rPr>
              <w:t>’</w:t>
            </w:r>
            <w:r w:rsidRPr="00D27EA1">
              <w:rPr>
                <w:sz w:val="20"/>
                <w:szCs w:val="20"/>
                <w:lang w:val="fr-FR"/>
              </w:rPr>
              <w:t>u</w:t>
            </w:r>
            <w:r w:rsidR="001F4594" w:rsidRPr="00D27EA1">
              <w:rPr>
                <w:sz w:val="20"/>
                <w:szCs w:val="20"/>
                <w:lang w:val="fr-FR"/>
              </w:rPr>
              <w:t>n</w:t>
            </w:r>
            <w:r w:rsidR="00B43A0C" w:rsidRPr="00D27EA1">
              <w:rPr>
                <w:sz w:val="20"/>
                <w:szCs w:val="20"/>
                <w:lang w:val="fr-FR"/>
              </w:rPr>
              <w:t xml:space="preserve"> comportement efficace en matière</w:t>
            </w:r>
            <w:r w:rsidRPr="00D27EA1">
              <w:rPr>
                <w:sz w:val="20"/>
                <w:szCs w:val="20"/>
                <w:lang w:val="fr-FR"/>
              </w:rPr>
              <w:t xml:space="preserve"> d’aide,</w:t>
            </w:r>
            <w:r w:rsidR="001F4594" w:rsidRPr="00D27EA1">
              <w:rPr>
                <w:sz w:val="20"/>
                <w:szCs w:val="20"/>
                <w:lang w:val="fr-FR"/>
              </w:rPr>
              <w:t xml:space="preserve"> et</w:t>
            </w:r>
            <w:r w:rsidRPr="00D27EA1">
              <w:rPr>
                <w:sz w:val="20"/>
                <w:szCs w:val="20"/>
                <w:lang w:val="fr-FR"/>
              </w:rPr>
              <w:t xml:space="preserve"> </w:t>
            </w:r>
            <w:r w:rsidR="00280A24" w:rsidRPr="00D27EA1">
              <w:rPr>
                <w:sz w:val="20"/>
                <w:szCs w:val="20"/>
                <w:lang w:val="fr-FR"/>
              </w:rPr>
              <w:t>pouvant</w:t>
            </w:r>
            <w:r w:rsidR="00F64E4B" w:rsidRPr="00D27EA1">
              <w:rPr>
                <w:sz w:val="20"/>
                <w:szCs w:val="20"/>
                <w:lang w:val="fr-FR"/>
              </w:rPr>
              <w:t xml:space="preserve"> aider</w:t>
            </w:r>
            <w:r w:rsidR="00280A24" w:rsidRPr="00D27EA1">
              <w:rPr>
                <w:sz w:val="20"/>
                <w:szCs w:val="20"/>
                <w:lang w:val="fr-FR"/>
              </w:rPr>
              <w:t xml:space="preserve"> également</w:t>
            </w:r>
            <w:r w:rsidR="00F64E4B" w:rsidRPr="00D27EA1">
              <w:rPr>
                <w:sz w:val="20"/>
                <w:szCs w:val="20"/>
                <w:lang w:val="fr-FR"/>
              </w:rPr>
              <w:t xml:space="preserve"> à interpréter les données </w:t>
            </w:r>
            <w:r w:rsidR="001F4594" w:rsidRPr="00D27EA1">
              <w:rPr>
                <w:sz w:val="20"/>
                <w:szCs w:val="20"/>
                <w:lang w:val="fr-FR"/>
              </w:rPr>
              <w:t>quantitatives</w:t>
            </w:r>
            <w:r w:rsidR="00F64E4B" w:rsidRPr="00D27EA1">
              <w:rPr>
                <w:sz w:val="20"/>
                <w:szCs w:val="20"/>
                <w:lang w:val="fr-FR"/>
              </w:rPr>
              <w:t>.</w:t>
            </w:r>
            <w:r w:rsidR="00D27EA1">
              <w:rPr>
                <w:sz w:val="20"/>
                <w:szCs w:val="20"/>
                <w:lang w:val="fr-FR"/>
              </w:rPr>
              <w:t xml:space="preserve"> </w:t>
            </w:r>
          </w:p>
        </w:tc>
      </w:tr>
      <w:tr w:rsidR="00C16894" w:rsidRPr="007440F8" w14:paraId="46FD0D91" w14:textId="77777777" w:rsidTr="00D8318A">
        <w:tc>
          <w:tcPr>
            <w:tcW w:w="9360" w:type="dxa"/>
            <w:tcBorders>
              <w:bottom w:val="single" w:sz="4" w:space="0" w:color="auto"/>
            </w:tcBorders>
            <w:shd w:val="clear" w:color="auto" w:fill="auto"/>
          </w:tcPr>
          <w:p w14:paraId="11D5118B" w14:textId="673C05DA" w:rsidR="001F4594" w:rsidRPr="00D27EA1" w:rsidRDefault="007F7B24" w:rsidP="00D66B76">
            <w:pPr>
              <w:pStyle w:val="ListParagraph"/>
              <w:numPr>
                <w:ilvl w:val="0"/>
                <w:numId w:val="31"/>
              </w:numPr>
              <w:shd w:val="clear" w:color="auto" w:fill="F2F2F2" w:themeFill="background1" w:themeFillShade="F2"/>
              <w:rPr>
                <w:sz w:val="20"/>
                <w:szCs w:val="20"/>
                <w:lang w:val="fr-FR"/>
              </w:rPr>
            </w:pPr>
            <w:r w:rsidRPr="00D27EA1">
              <w:rPr>
                <w:sz w:val="20"/>
                <w:szCs w:val="20"/>
                <w:lang w:val="fr-FR"/>
              </w:rPr>
              <w:t>Intégrer</w:t>
            </w:r>
            <w:r w:rsidR="001F4594" w:rsidRPr="00D27EA1">
              <w:rPr>
                <w:sz w:val="20"/>
                <w:szCs w:val="20"/>
                <w:lang w:val="fr-FR"/>
              </w:rPr>
              <w:t xml:space="preserve"> les indicateurs pour le suivi de l’efficacité de l’aide dans les système</w:t>
            </w:r>
            <w:r w:rsidR="00606335" w:rsidRPr="00D27EA1">
              <w:rPr>
                <w:sz w:val="20"/>
                <w:szCs w:val="20"/>
                <w:lang w:val="fr-FR"/>
              </w:rPr>
              <w:t xml:space="preserve">s </w:t>
            </w:r>
            <w:r w:rsidRPr="00D27EA1">
              <w:rPr>
                <w:sz w:val="20"/>
                <w:szCs w:val="20"/>
                <w:lang w:val="fr-FR"/>
              </w:rPr>
              <w:t xml:space="preserve">de surveillance </w:t>
            </w:r>
            <w:r w:rsidR="00606335" w:rsidRPr="00D27EA1">
              <w:rPr>
                <w:sz w:val="20"/>
                <w:szCs w:val="20"/>
                <w:lang w:val="fr-FR"/>
              </w:rPr>
              <w:t>habituels des pays et les processus de dialogue politique (tels que les examens annuels conjoints), et inclure tous les principaux acteurs.</w:t>
            </w:r>
            <w:r w:rsidR="00D27EA1">
              <w:rPr>
                <w:sz w:val="20"/>
                <w:szCs w:val="20"/>
                <w:lang w:val="fr-FR"/>
              </w:rPr>
              <w:t xml:space="preserve"> </w:t>
            </w:r>
          </w:p>
          <w:p w14:paraId="2E209E27" w14:textId="0FEEC9E8" w:rsidR="007F7B24" w:rsidRPr="00D27EA1" w:rsidRDefault="007F7B24" w:rsidP="00D66B76">
            <w:pPr>
              <w:pStyle w:val="ListParagraph"/>
              <w:numPr>
                <w:ilvl w:val="0"/>
                <w:numId w:val="31"/>
              </w:numPr>
              <w:shd w:val="clear" w:color="auto" w:fill="F2F2F2" w:themeFill="background1" w:themeFillShade="F2"/>
              <w:rPr>
                <w:sz w:val="20"/>
                <w:szCs w:val="20"/>
                <w:lang w:val="fr-FR"/>
              </w:rPr>
            </w:pPr>
            <w:r w:rsidRPr="00D27EA1">
              <w:rPr>
                <w:sz w:val="20"/>
                <w:szCs w:val="20"/>
                <w:lang w:val="fr-FR"/>
              </w:rPr>
              <w:t xml:space="preserve">Intensifier la dissémination et la discussion autour des résultats. Recourir davantage aux mécanismes de redevabilité au niveau des pays, en réservant un rôle plus efficace </w:t>
            </w:r>
            <w:r w:rsidR="00D31CFB" w:rsidRPr="00D27EA1">
              <w:rPr>
                <w:sz w:val="20"/>
                <w:szCs w:val="20"/>
                <w:lang w:val="fr-FR"/>
              </w:rPr>
              <w:t>à</w:t>
            </w:r>
            <w:r w:rsidRPr="00D27EA1">
              <w:rPr>
                <w:sz w:val="20"/>
                <w:szCs w:val="20"/>
                <w:lang w:val="fr-FR"/>
              </w:rPr>
              <w:t xml:space="preserve"> la société civile et </w:t>
            </w:r>
            <w:r w:rsidR="00D31CFB" w:rsidRPr="00D27EA1">
              <w:rPr>
                <w:sz w:val="20"/>
                <w:szCs w:val="20"/>
                <w:lang w:val="fr-FR"/>
              </w:rPr>
              <w:t>aux</w:t>
            </w:r>
            <w:r w:rsidRPr="00D27EA1">
              <w:rPr>
                <w:sz w:val="20"/>
                <w:szCs w:val="20"/>
                <w:lang w:val="fr-FR"/>
              </w:rPr>
              <w:t xml:space="preserve"> </w:t>
            </w:r>
            <w:r w:rsidR="00DC4B33" w:rsidRPr="00D27EA1">
              <w:rPr>
                <w:sz w:val="20"/>
                <w:szCs w:val="20"/>
                <w:lang w:val="fr-FR"/>
              </w:rPr>
              <w:t xml:space="preserve">Parlements </w:t>
            </w:r>
            <w:r w:rsidRPr="00D27EA1">
              <w:rPr>
                <w:sz w:val="20"/>
                <w:szCs w:val="20"/>
                <w:lang w:val="fr-FR"/>
              </w:rPr>
              <w:t>nationaux.</w:t>
            </w:r>
          </w:p>
          <w:p w14:paraId="70173FF2" w14:textId="2A719F46" w:rsidR="00D66B76" w:rsidRPr="00D27EA1" w:rsidRDefault="00D31CFB" w:rsidP="00914201">
            <w:pPr>
              <w:pStyle w:val="ListParagraph"/>
              <w:numPr>
                <w:ilvl w:val="0"/>
                <w:numId w:val="31"/>
              </w:numPr>
              <w:shd w:val="clear" w:color="auto" w:fill="F2F2F2" w:themeFill="background1" w:themeFillShade="F2"/>
              <w:rPr>
                <w:sz w:val="20"/>
                <w:szCs w:val="20"/>
                <w:lang w:val="fr-FR"/>
              </w:rPr>
            </w:pPr>
            <w:r w:rsidRPr="00D27EA1">
              <w:rPr>
                <w:sz w:val="20"/>
                <w:szCs w:val="20"/>
                <w:lang w:val="fr-FR"/>
              </w:rPr>
              <w:t xml:space="preserve">Examiner le soutien requis pour les pays qui souhaitent </w:t>
            </w:r>
            <w:r w:rsidR="00971034" w:rsidRPr="00D27EA1">
              <w:rPr>
                <w:sz w:val="20"/>
                <w:szCs w:val="20"/>
                <w:lang w:val="fr-FR"/>
              </w:rPr>
              <w:t>étendre</w:t>
            </w:r>
            <w:r w:rsidRPr="00D27EA1">
              <w:rPr>
                <w:sz w:val="20"/>
                <w:szCs w:val="20"/>
                <w:lang w:val="fr-FR"/>
              </w:rPr>
              <w:t xml:space="preserve"> </w:t>
            </w:r>
            <w:r w:rsidR="00A85C26" w:rsidRPr="00D27EA1">
              <w:rPr>
                <w:sz w:val="20"/>
                <w:szCs w:val="20"/>
                <w:lang w:val="fr-FR"/>
              </w:rPr>
              <w:t>n’importe quel</w:t>
            </w:r>
            <w:r w:rsidR="00794F2B" w:rsidRPr="00D27EA1">
              <w:rPr>
                <w:sz w:val="20"/>
                <w:szCs w:val="20"/>
                <w:lang w:val="fr-FR"/>
              </w:rPr>
              <w:t xml:space="preserve"> ensemble </w:t>
            </w:r>
            <w:r w:rsidR="003A4E76" w:rsidRPr="00D27EA1">
              <w:rPr>
                <w:sz w:val="20"/>
                <w:szCs w:val="20"/>
                <w:lang w:val="fr-FR"/>
              </w:rPr>
              <w:t>minimal</w:t>
            </w:r>
            <w:r w:rsidR="00794F2B" w:rsidRPr="00D27EA1">
              <w:rPr>
                <w:sz w:val="20"/>
                <w:szCs w:val="20"/>
                <w:lang w:val="fr-FR"/>
              </w:rPr>
              <w:t xml:space="preserve"> d'indicateurs</w:t>
            </w:r>
            <w:r w:rsidR="00D22B95" w:rsidRPr="00D27EA1">
              <w:rPr>
                <w:sz w:val="20"/>
                <w:szCs w:val="20"/>
                <w:lang w:val="fr-FR"/>
              </w:rPr>
              <w:t xml:space="preserve"> à d’autres</w:t>
            </w:r>
            <w:r w:rsidR="004F3BB7" w:rsidRPr="00D27EA1">
              <w:rPr>
                <w:sz w:val="20"/>
                <w:szCs w:val="20"/>
                <w:lang w:val="fr-FR"/>
              </w:rPr>
              <w:t xml:space="preserve">, et l’adapter </w:t>
            </w:r>
            <w:r w:rsidR="00D21025" w:rsidRPr="00D27EA1">
              <w:rPr>
                <w:sz w:val="20"/>
                <w:szCs w:val="20"/>
                <w:lang w:val="fr-FR"/>
              </w:rPr>
              <w:t xml:space="preserve">aux </w:t>
            </w:r>
            <w:r w:rsidR="004F3BB7" w:rsidRPr="00D27EA1">
              <w:rPr>
                <w:sz w:val="20"/>
                <w:szCs w:val="20"/>
                <w:lang w:val="fr-FR"/>
              </w:rPr>
              <w:t>conditions</w:t>
            </w:r>
            <w:r w:rsidR="00D21025" w:rsidRPr="00D27EA1">
              <w:rPr>
                <w:sz w:val="20"/>
                <w:szCs w:val="20"/>
                <w:lang w:val="fr-FR"/>
              </w:rPr>
              <w:t xml:space="preserve"> propres à chaque pays</w:t>
            </w:r>
            <w:r w:rsidR="00D66B76" w:rsidRPr="00D27EA1">
              <w:rPr>
                <w:sz w:val="20"/>
                <w:szCs w:val="20"/>
                <w:lang w:val="fr-FR"/>
              </w:rPr>
              <w:t xml:space="preserve">. </w:t>
            </w:r>
          </w:p>
        </w:tc>
      </w:tr>
    </w:tbl>
    <w:p w14:paraId="74FE47D1" w14:textId="77777777" w:rsidR="00D8318A" w:rsidRPr="00D27EA1" w:rsidRDefault="00D8318A" w:rsidP="00104D8A">
      <w:pPr>
        <w:spacing w:after="0" w:line="240" w:lineRule="auto"/>
        <w:rPr>
          <w:lang w:val="fr-FR"/>
        </w:rPr>
      </w:pPr>
    </w:p>
    <w:p w14:paraId="12684622" w14:textId="1C21C769" w:rsidR="004F5B69" w:rsidRPr="00D27EA1" w:rsidRDefault="00135FAE" w:rsidP="00E84862">
      <w:pPr>
        <w:spacing w:after="0" w:line="240" w:lineRule="auto"/>
        <w:rPr>
          <w:lang w:val="fr-FR"/>
        </w:rPr>
      </w:pPr>
      <w:r w:rsidRPr="00D27EA1">
        <w:rPr>
          <w:lang w:val="fr-FR"/>
        </w:rPr>
        <w:t>Ainsi qu’il est indiqué</w:t>
      </w:r>
      <w:r w:rsidR="004F5B69" w:rsidRPr="00D27EA1">
        <w:rPr>
          <w:lang w:val="fr-FR"/>
        </w:rPr>
        <w:t xml:space="preserve"> dans l’encadré 4, le Groupe de </w:t>
      </w:r>
      <w:r w:rsidR="00FC1C53" w:rsidRPr="00D27EA1">
        <w:rPr>
          <w:lang w:val="fr-FR"/>
        </w:rPr>
        <w:t>travail</w:t>
      </w:r>
      <w:r w:rsidR="004F5B69" w:rsidRPr="00D27EA1">
        <w:rPr>
          <w:lang w:val="fr-FR"/>
        </w:rPr>
        <w:t xml:space="preserve"> sur la redevabilité mutuelle du IHP+ </w:t>
      </w:r>
      <w:r w:rsidR="00FC1C53" w:rsidRPr="00D27EA1">
        <w:rPr>
          <w:lang w:val="fr-FR"/>
        </w:rPr>
        <w:t xml:space="preserve">a </w:t>
      </w:r>
      <w:r w:rsidR="00CB6ED9" w:rsidRPr="00D27EA1">
        <w:rPr>
          <w:lang w:val="fr-FR"/>
        </w:rPr>
        <w:t>donné du poids</w:t>
      </w:r>
      <w:r w:rsidR="00FC1C53" w:rsidRPr="00D27EA1">
        <w:rPr>
          <w:lang w:val="fr-FR"/>
        </w:rPr>
        <w:t xml:space="preserve"> </w:t>
      </w:r>
      <w:r w:rsidR="00CB6ED9" w:rsidRPr="00D27EA1">
        <w:rPr>
          <w:lang w:val="fr-FR"/>
        </w:rPr>
        <w:t xml:space="preserve">à </w:t>
      </w:r>
      <w:r w:rsidR="00FC1C53" w:rsidRPr="00D27EA1">
        <w:rPr>
          <w:lang w:val="fr-FR"/>
        </w:rPr>
        <w:t>d’aut</w:t>
      </w:r>
      <w:r w:rsidR="00CB6ED9" w:rsidRPr="00D27EA1">
        <w:rPr>
          <w:lang w:val="fr-FR"/>
        </w:rPr>
        <w:t>res points de vue en ce qui concerne les</w:t>
      </w:r>
      <w:r w:rsidR="00FC1C53" w:rsidRPr="00D27EA1">
        <w:rPr>
          <w:lang w:val="fr-FR"/>
        </w:rPr>
        <w:t xml:space="preserve"> changements à apporter au processus: l’approche devrait se concentrer sur le suivi au niveau des pays par le biais des systèmes nationaux, sans pour autant abandonner un compte</w:t>
      </w:r>
      <w:r w:rsidR="00A14201" w:rsidRPr="00D27EA1">
        <w:rPr>
          <w:lang w:val="fr-FR"/>
        </w:rPr>
        <w:t xml:space="preserve"> </w:t>
      </w:r>
      <w:r w:rsidR="00FC1C53" w:rsidRPr="00D27EA1">
        <w:rPr>
          <w:lang w:val="fr-FR"/>
        </w:rPr>
        <w:t xml:space="preserve">rendu global régulier. </w:t>
      </w:r>
    </w:p>
    <w:p w14:paraId="0D6BD856" w14:textId="77777777" w:rsidR="00FC1C53" w:rsidRPr="00D27EA1" w:rsidRDefault="00FC1C53" w:rsidP="00104D8A">
      <w:pPr>
        <w:spacing w:after="0" w:line="240" w:lineRule="auto"/>
        <w:rPr>
          <w:lang w:val="fr-FR"/>
        </w:rPr>
      </w:pPr>
    </w:p>
    <w:p w14:paraId="64DDCF82" w14:textId="0BA0CC48" w:rsidR="005209ED" w:rsidRPr="00D27EA1" w:rsidRDefault="00883D6A" w:rsidP="007B2120">
      <w:pPr>
        <w:spacing w:after="0" w:line="240" w:lineRule="auto"/>
        <w:rPr>
          <w:lang w:val="fr-FR"/>
        </w:rPr>
      </w:pPr>
      <w:r w:rsidRPr="00D27EA1">
        <w:rPr>
          <w:lang w:val="fr-FR"/>
        </w:rPr>
        <w:t>Pour le IHP+</w:t>
      </w:r>
      <w:r w:rsidR="00442AAD" w:rsidRPr="00D27EA1">
        <w:rPr>
          <w:lang w:val="fr-FR"/>
        </w:rPr>
        <w:t>,</w:t>
      </w:r>
      <w:r w:rsidRPr="00D27EA1">
        <w:rPr>
          <w:lang w:val="fr-FR"/>
        </w:rPr>
        <w:t xml:space="preserve"> tout comme pour le Partenariat global, cela signifie qu’un certain nombre de </w:t>
      </w:r>
      <w:r w:rsidR="00EA5E7A" w:rsidRPr="00D27EA1">
        <w:rPr>
          <w:lang w:val="fr-FR"/>
        </w:rPr>
        <w:t>choix</w:t>
      </w:r>
      <w:r w:rsidRPr="00D27EA1">
        <w:rPr>
          <w:lang w:val="fr-FR"/>
        </w:rPr>
        <w:t xml:space="preserve"> difficiles devront être </w:t>
      </w:r>
      <w:r w:rsidR="00EA5E7A" w:rsidRPr="00D27EA1">
        <w:rPr>
          <w:lang w:val="fr-FR"/>
        </w:rPr>
        <w:t>faits afin d'aboutir à un petit nombre d’indicateurs dédiés à l’efficacité de l’aide</w:t>
      </w:r>
      <w:r w:rsidR="00442AAD" w:rsidRPr="00D27EA1">
        <w:rPr>
          <w:lang w:val="fr-FR"/>
        </w:rPr>
        <w:t xml:space="preserve"> pour le secteur de la santé</w:t>
      </w:r>
      <w:r w:rsidR="00EE326F" w:rsidRPr="00D27EA1">
        <w:rPr>
          <w:lang w:val="fr-FR"/>
        </w:rPr>
        <w:t>,</w:t>
      </w:r>
      <w:r w:rsidR="00EA5E7A" w:rsidRPr="00D27EA1">
        <w:rPr>
          <w:lang w:val="fr-FR"/>
        </w:rPr>
        <w:t xml:space="preserve"> </w:t>
      </w:r>
      <w:r w:rsidR="00EE326F" w:rsidRPr="00D27EA1">
        <w:rPr>
          <w:lang w:val="fr-FR"/>
        </w:rPr>
        <w:t>sur lesquels tous les partenaire</w:t>
      </w:r>
      <w:r w:rsidR="00442AAD" w:rsidRPr="00D27EA1">
        <w:rPr>
          <w:lang w:val="fr-FR"/>
        </w:rPr>
        <w:t>s accepteront de rendre compte.</w:t>
      </w:r>
      <w:r w:rsidR="00EA5E7A" w:rsidRPr="00D27EA1">
        <w:rPr>
          <w:lang w:val="fr-FR"/>
        </w:rPr>
        <w:t xml:space="preserve"> </w:t>
      </w:r>
      <w:r w:rsidR="00EE326F" w:rsidRPr="00D27EA1">
        <w:rPr>
          <w:lang w:val="fr-FR"/>
        </w:rPr>
        <w:t>Le Groupe de travail du IHP+</w:t>
      </w:r>
      <w:r w:rsidR="00D27EA1">
        <w:rPr>
          <w:lang w:val="fr-FR"/>
        </w:rPr>
        <w:t xml:space="preserve"> </w:t>
      </w:r>
      <w:r w:rsidR="00EE326F" w:rsidRPr="00D27EA1">
        <w:rPr>
          <w:lang w:val="fr-FR"/>
        </w:rPr>
        <w:t xml:space="preserve">a convenu que les dix indicateurs du Partenariat global </w:t>
      </w:r>
      <w:r w:rsidR="00D018BC" w:rsidRPr="00D27EA1">
        <w:rPr>
          <w:lang w:val="fr-FR"/>
        </w:rPr>
        <w:t>constituent</w:t>
      </w:r>
      <w:r w:rsidR="00EE326F" w:rsidRPr="00D27EA1">
        <w:rPr>
          <w:lang w:val="fr-FR"/>
        </w:rPr>
        <w:t xml:space="preserve"> un</w:t>
      </w:r>
      <w:r w:rsidR="00D018BC" w:rsidRPr="00D27EA1">
        <w:rPr>
          <w:lang w:val="fr-FR"/>
        </w:rPr>
        <w:t xml:space="preserve"> point de départ approprié pour </w:t>
      </w:r>
      <w:r w:rsidR="00EE326F" w:rsidRPr="00D27EA1">
        <w:rPr>
          <w:lang w:val="fr-FR"/>
        </w:rPr>
        <w:t xml:space="preserve">l’ensemble de base </w:t>
      </w:r>
      <w:r w:rsidR="00D018BC" w:rsidRPr="00D27EA1">
        <w:rPr>
          <w:lang w:val="fr-FR"/>
        </w:rPr>
        <w:t>spécifique au</w:t>
      </w:r>
      <w:r w:rsidR="00EE326F" w:rsidRPr="00D27EA1">
        <w:rPr>
          <w:lang w:val="fr-FR"/>
        </w:rPr>
        <w:t xml:space="preserve"> IHP+, </w:t>
      </w:r>
      <w:r w:rsidR="009B46C9" w:rsidRPr="00D27EA1">
        <w:rPr>
          <w:lang w:val="fr-FR"/>
        </w:rPr>
        <w:t xml:space="preserve">en particulier parce que </w:t>
      </w:r>
      <w:r w:rsidR="00EE326F" w:rsidRPr="00D27EA1">
        <w:rPr>
          <w:lang w:val="fr-FR"/>
        </w:rPr>
        <w:t xml:space="preserve">six de ces dix </w:t>
      </w:r>
      <w:r w:rsidR="00A14201" w:rsidRPr="00D27EA1">
        <w:rPr>
          <w:lang w:val="fr-FR"/>
        </w:rPr>
        <w:t xml:space="preserve">indicateurs </w:t>
      </w:r>
      <w:r w:rsidR="00EE326F" w:rsidRPr="00D27EA1">
        <w:rPr>
          <w:lang w:val="fr-FR"/>
        </w:rPr>
        <w:t xml:space="preserve">ont déjà fait l’objet d’un suivi dans le cadre de l’exercice conduit par le </w:t>
      </w:r>
      <w:proofErr w:type="spellStart"/>
      <w:r w:rsidR="00EE326F" w:rsidRPr="00D27EA1">
        <w:rPr>
          <w:lang w:val="fr-FR"/>
        </w:rPr>
        <w:t>IHP+Results</w:t>
      </w:r>
      <w:proofErr w:type="spellEnd"/>
      <w:r w:rsidR="00EE326F" w:rsidRPr="00D27EA1">
        <w:rPr>
          <w:lang w:val="fr-FR"/>
        </w:rPr>
        <w:t xml:space="preserve">. Cela signifie qu’il </w:t>
      </w:r>
      <w:r w:rsidR="00820EF8" w:rsidRPr="00D27EA1">
        <w:rPr>
          <w:lang w:val="fr-FR"/>
        </w:rPr>
        <w:t>existe une base de données de plus en plus solide sur laquelle se fonder</w:t>
      </w:r>
      <w:r w:rsidR="009C7B0E" w:rsidRPr="00D27EA1">
        <w:rPr>
          <w:rStyle w:val="FootnoteReference"/>
          <w:lang w:val="fr-FR"/>
        </w:rPr>
        <w:footnoteReference w:id="5"/>
      </w:r>
      <w:r w:rsidR="009C7B0E" w:rsidRPr="00D27EA1">
        <w:rPr>
          <w:lang w:val="fr-FR"/>
        </w:rPr>
        <w:t>.</w:t>
      </w:r>
      <w:r w:rsidR="00104D8A" w:rsidRPr="00D27EA1">
        <w:rPr>
          <w:lang w:val="fr-FR"/>
        </w:rPr>
        <w:t xml:space="preserve"> </w:t>
      </w:r>
      <w:r w:rsidR="00820EF8" w:rsidRPr="00D27EA1">
        <w:rPr>
          <w:lang w:val="fr-FR"/>
        </w:rPr>
        <w:t>L’a</w:t>
      </w:r>
      <w:r w:rsidR="00104D8A" w:rsidRPr="00D27EA1">
        <w:rPr>
          <w:lang w:val="fr-FR"/>
        </w:rPr>
        <w:t>nnex</w:t>
      </w:r>
      <w:r w:rsidR="00820EF8" w:rsidRPr="00D27EA1">
        <w:rPr>
          <w:lang w:val="fr-FR"/>
        </w:rPr>
        <w:t>e</w:t>
      </w:r>
      <w:r w:rsidR="00104D8A" w:rsidRPr="00D27EA1">
        <w:rPr>
          <w:lang w:val="fr-FR"/>
        </w:rPr>
        <w:t xml:space="preserve"> </w:t>
      </w:r>
      <w:r w:rsidR="007B2120" w:rsidRPr="00D27EA1">
        <w:rPr>
          <w:lang w:val="fr-FR"/>
        </w:rPr>
        <w:t>2</w:t>
      </w:r>
      <w:r w:rsidR="00820EF8" w:rsidRPr="00D27EA1">
        <w:rPr>
          <w:lang w:val="fr-FR"/>
        </w:rPr>
        <w:t xml:space="preserve"> fournit la liste de l’ensemble des indicateurs.</w:t>
      </w:r>
      <w:r w:rsidR="00104D8A" w:rsidRPr="00D27EA1">
        <w:rPr>
          <w:lang w:val="fr-FR"/>
        </w:rPr>
        <w:t xml:space="preserve"> </w:t>
      </w:r>
    </w:p>
    <w:p w14:paraId="1B592732" w14:textId="77777777" w:rsidR="006F43B4" w:rsidRPr="00D27EA1" w:rsidRDefault="006F43B4" w:rsidP="007B2120">
      <w:pPr>
        <w:spacing w:after="0" w:line="240" w:lineRule="auto"/>
        <w:rPr>
          <w:lang w:val="fr-FR"/>
        </w:rPr>
      </w:pPr>
    </w:p>
    <w:p w14:paraId="2C6E9734" w14:textId="65680627" w:rsidR="005209ED" w:rsidRDefault="00920551" w:rsidP="00104D8A">
      <w:pPr>
        <w:spacing w:after="0" w:line="240" w:lineRule="auto"/>
        <w:rPr>
          <w:lang w:val="fr-FR"/>
        </w:rPr>
      </w:pPr>
      <w:r w:rsidRPr="00D27EA1">
        <w:rPr>
          <w:lang w:val="fr-FR"/>
        </w:rPr>
        <w:t>Le Groupe a également examiné les</w:t>
      </w:r>
      <w:r w:rsidR="006F43B4" w:rsidRPr="00D27EA1">
        <w:rPr>
          <w:lang w:val="fr-FR"/>
        </w:rPr>
        <w:t xml:space="preserve"> critères </w:t>
      </w:r>
      <w:r w:rsidRPr="00D27EA1">
        <w:rPr>
          <w:lang w:val="fr-FR"/>
        </w:rPr>
        <w:t>suivants :</w:t>
      </w:r>
    </w:p>
    <w:p w14:paraId="7CBBE267" w14:textId="77777777" w:rsidR="00D27EA1" w:rsidRPr="00D27EA1" w:rsidRDefault="00D27EA1" w:rsidP="00104D8A">
      <w:pPr>
        <w:spacing w:after="0" w:line="240" w:lineRule="auto"/>
        <w:rPr>
          <w:lang w:val="fr-FR"/>
        </w:rPr>
      </w:pPr>
    </w:p>
    <w:p w14:paraId="6EF7EAB4" w14:textId="175F7132" w:rsidR="00760E0F" w:rsidRPr="00D27EA1" w:rsidRDefault="000F3547" w:rsidP="00104D8A">
      <w:pPr>
        <w:pStyle w:val="ListParagraph"/>
        <w:numPr>
          <w:ilvl w:val="0"/>
          <w:numId w:val="16"/>
        </w:numPr>
        <w:rPr>
          <w:lang w:val="fr-FR"/>
        </w:rPr>
      </w:pPr>
      <w:r w:rsidRPr="00D27EA1">
        <w:rPr>
          <w:lang w:val="fr-FR"/>
        </w:rPr>
        <w:t xml:space="preserve">L’indicateur </w:t>
      </w:r>
      <w:r w:rsidR="00A14201" w:rsidRPr="00D27EA1">
        <w:rPr>
          <w:lang w:val="fr-FR"/>
        </w:rPr>
        <w:t xml:space="preserve">reflète des </w:t>
      </w:r>
      <w:r w:rsidR="004604FE" w:rsidRPr="00D27EA1">
        <w:rPr>
          <w:lang w:val="fr-FR"/>
        </w:rPr>
        <w:t>questions</w:t>
      </w:r>
      <w:r w:rsidR="00A14201" w:rsidRPr="00D27EA1">
        <w:rPr>
          <w:lang w:val="fr-FR"/>
        </w:rPr>
        <w:t xml:space="preserve"> important</w:t>
      </w:r>
      <w:r w:rsidR="004604FE" w:rsidRPr="00D27EA1">
        <w:rPr>
          <w:lang w:val="fr-FR"/>
        </w:rPr>
        <w:t>e</w:t>
      </w:r>
      <w:r w:rsidR="00A14201" w:rsidRPr="00D27EA1">
        <w:rPr>
          <w:lang w:val="fr-FR"/>
        </w:rPr>
        <w:t>s et pertinent</w:t>
      </w:r>
      <w:r w:rsidR="004604FE" w:rsidRPr="00D27EA1">
        <w:rPr>
          <w:lang w:val="fr-FR"/>
        </w:rPr>
        <w:t>e</w:t>
      </w:r>
      <w:r w:rsidR="00A14201" w:rsidRPr="00D27EA1">
        <w:rPr>
          <w:lang w:val="fr-FR"/>
        </w:rPr>
        <w:t xml:space="preserve">s </w:t>
      </w:r>
      <w:r w:rsidR="004604FE" w:rsidRPr="00D27EA1">
        <w:rPr>
          <w:lang w:val="fr-FR"/>
        </w:rPr>
        <w:t>pour le</w:t>
      </w:r>
      <w:r w:rsidR="00A14201" w:rsidRPr="00D27EA1">
        <w:rPr>
          <w:lang w:val="fr-FR"/>
        </w:rPr>
        <w:t xml:space="preserve"> suivi de l’efficacité de l’aide </w:t>
      </w:r>
      <w:r w:rsidR="004604FE" w:rsidRPr="00D27EA1">
        <w:rPr>
          <w:lang w:val="fr-FR"/>
        </w:rPr>
        <w:t>et du développement dans le secteur de la santé.</w:t>
      </w:r>
    </w:p>
    <w:p w14:paraId="51E99054" w14:textId="7C60D51C" w:rsidR="004604FE" w:rsidRPr="00D27EA1" w:rsidRDefault="004604FE" w:rsidP="00104D8A">
      <w:pPr>
        <w:pStyle w:val="ListParagraph"/>
        <w:numPr>
          <w:ilvl w:val="0"/>
          <w:numId w:val="16"/>
        </w:numPr>
        <w:rPr>
          <w:lang w:val="fr-FR"/>
        </w:rPr>
      </w:pPr>
      <w:r w:rsidRPr="00D27EA1">
        <w:rPr>
          <w:lang w:val="fr-FR"/>
        </w:rPr>
        <w:t>Il s’agit d’un indicateur existant, dont la définition et la stratégie de mesure sont claires, et qui est aisé à suivre.</w:t>
      </w:r>
    </w:p>
    <w:p w14:paraId="6A7577BA" w14:textId="69741D9A" w:rsidR="004604FE" w:rsidRPr="00D27EA1" w:rsidRDefault="004604FE" w:rsidP="00104D8A">
      <w:pPr>
        <w:pStyle w:val="ListParagraph"/>
        <w:numPr>
          <w:ilvl w:val="0"/>
          <w:numId w:val="16"/>
        </w:numPr>
        <w:rPr>
          <w:lang w:val="fr-FR"/>
        </w:rPr>
      </w:pPr>
      <w:r w:rsidRPr="00D27EA1">
        <w:rPr>
          <w:lang w:val="fr-FR"/>
        </w:rPr>
        <w:t>Les coûts de transaction consacrés à le mesurer sont modérés: soit les données sont déjà collectées, soit elles pourraient être incorporées dans les systèmes de rapports réguliers des pays ou des agences.</w:t>
      </w:r>
    </w:p>
    <w:p w14:paraId="18DB33D9" w14:textId="77777777" w:rsidR="009C7B0E" w:rsidRPr="00D27EA1" w:rsidRDefault="009C7B0E" w:rsidP="00C10CC9">
      <w:pPr>
        <w:rPr>
          <w:b/>
          <w:bCs/>
          <w:sz w:val="24"/>
          <w:szCs w:val="24"/>
          <w:lang w:val="fr-FR"/>
        </w:rPr>
      </w:pPr>
    </w:p>
    <w:p w14:paraId="2C60C11C" w14:textId="0FE74DB6" w:rsidR="00C10CC9" w:rsidRPr="00D27EA1" w:rsidRDefault="00785FFC" w:rsidP="00D27EA1">
      <w:pPr>
        <w:keepNext/>
        <w:outlineLvl w:val="0"/>
        <w:rPr>
          <w:b/>
          <w:bCs/>
          <w:sz w:val="24"/>
          <w:szCs w:val="24"/>
          <w:lang w:val="fr-FR"/>
        </w:rPr>
      </w:pPr>
      <w:r w:rsidRPr="00D27EA1">
        <w:rPr>
          <w:b/>
          <w:bCs/>
          <w:sz w:val="24"/>
          <w:szCs w:val="24"/>
          <w:lang w:val="fr-FR"/>
        </w:rPr>
        <w:lastRenderedPageBreak/>
        <w:t>Q</w:t>
      </w:r>
      <w:r w:rsidR="00C10CC9" w:rsidRPr="00D27EA1">
        <w:rPr>
          <w:b/>
          <w:bCs/>
          <w:sz w:val="24"/>
          <w:szCs w:val="24"/>
          <w:lang w:val="fr-FR"/>
        </w:rPr>
        <w:t xml:space="preserve">uestions </w:t>
      </w:r>
      <w:r w:rsidR="00DF7B94" w:rsidRPr="00D27EA1">
        <w:rPr>
          <w:b/>
          <w:bCs/>
          <w:sz w:val="24"/>
          <w:szCs w:val="24"/>
          <w:lang w:val="fr-FR"/>
        </w:rPr>
        <w:t xml:space="preserve">soumises pour </w:t>
      </w:r>
      <w:r w:rsidR="00D0116B" w:rsidRPr="00D27EA1">
        <w:rPr>
          <w:b/>
          <w:bCs/>
          <w:sz w:val="24"/>
          <w:szCs w:val="24"/>
          <w:lang w:val="fr-FR"/>
        </w:rPr>
        <w:t>discussion</w:t>
      </w:r>
      <w:r w:rsidR="00C10CC9" w:rsidRPr="00D27EA1">
        <w:rPr>
          <w:b/>
          <w:bCs/>
          <w:sz w:val="24"/>
          <w:szCs w:val="24"/>
          <w:lang w:val="fr-FR"/>
        </w:rPr>
        <w:t xml:space="preserve"> </w:t>
      </w:r>
    </w:p>
    <w:p w14:paraId="236630D4" w14:textId="39C5C124" w:rsidR="00D27EA1" w:rsidRPr="00D27EA1" w:rsidRDefault="00717C30" w:rsidP="00785FFC">
      <w:pPr>
        <w:rPr>
          <w:lang w:val="fr-FR"/>
        </w:rPr>
      </w:pPr>
      <w:r w:rsidRPr="00D27EA1">
        <w:rPr>
          <w:lang w:val="fr-FR"/>
        </w:rPr>
        <w:t>Tout en prenant en compte les discussions ci-dessus, veuillez répondre aux questions suivantes en utilisant l’espace prévu. Vous pouvez donner vos réponses en ligne</w:t>
      </w:r>
      <w:r w:rsidR="006A120C" w:rsidRPr="00D27EA1">
        <w:rPr>
          <w:lang w:val="fr-FR"/>
        </w:rPr>
        <w:t xml:space="preserve"> à</w:t>
      </w:r>
      <w:r w:rsidRPr="00D27EA1">
        <w:rPr>
          <w:lang w:val="fr-FR"/>
        </w:rPr>
        <w:t xml:space="preserve"> [</w:t>
      </w:r>
      <w:r w:rsidRPr="00D27EA1">
        <w:rPr>
          <w:u w:val="single"/>
          <w:lang w:val="fr-FR"/>
        </w:rPr>
        <w:t xml:space="preserve">insert </w:t>
      </w:r>
      <w:proofErr w:type="spellStart"/>
      <w:r w:rsidRPr="00D27EA1">
        <w:rPr>
          <w:u w:val="single"/>
          <w:lang w:val="fr-FR"/>
        </w:rPr>
        <w:t>link</w:t>
      </w:r>
      <w:proofErr w:type="spellEnd"/>
      <w:r w:rsidRPr="00D27EA1">
        <w:rPr>
          <w:u w:val="single"/>
          <w:lang w:val="fr-FR"/>
        </w:rPr>
        <w:t xml:space="preserve"> </w:t>
      </w:r>
      <w:r w:rsidR="004545B0">
        <w:rPr>
          <w:u w:val="single"/>
          <w:lang w:val="fr-FR"/>
        </w:rPr>
        <w:t xml:space="preserve">in french </w:t>
      </w:r>
      <w:r w:rsidRPr="00D27EA1">
        <w:rPr>
          <w:u w:val="single"/>
          <w:lang w:val="fr-FR"/>
        </w:rPr>
        <w:t xml:space="preserve">to </w:t>
      </w:r>
      <w:proofErr w:type="spellStart"/>
      <w:r w:rsidRPr="00D27EA1">
        <w:rPr>
          <w:u w:val="single"/>
          <w:lang w:val="fr-FR"/>
        </w:rPr>
        <w:t>survey</w:t>
      </w:r>
      <w:proofErr w:type="spellEnd"/>
      <w:r w:rsidRPr="00D27EA1">
        <w:rPr>
          <w:u w:val="single"/>
          <w:lang w:val="fr-FR"/>
        </w:rPr>
        <w:t xml:space="preserve"> on future monitoring</w:t>
      </w:r>
      <w:r w:rsidRPr="00D27EA1">
        <w:rPr>
          <w:lang w:val="fr-FR"/>
        </w:rPr>
        <w:t xml:space="preserve">], ou les envoyer par email à : </w:t>
      </w:r>
      <w:hyperlink r:id="rId10" w:history="1">
        <w:r w:rsidR="007440F8" w:rsidRPr="007440F8">
          <w:rPr>
            <w:rStyle w:val="Hyperlink"/>
            <w:lang w:val="fr-FR"/>
          </w:rPr>
          <w:t>info@internationalhealthpartnership.net</w:t>
        </w:r>
      </w:hyperlink>
      <w:r w:rsidRPr="00D27EA1">
        <w:rPr>
          <w:lang w:val="fr-FR"/>
        </w:rPr>
        <w:t xml:space="preserve">. </w:t>
      </w:r>
      <w:r w:rsidR="00D91F3F" w:rsidRPr="00D27EA1">
        <w:rPr>
          <w:lang w:val="fr-FR"/>
        </w:rPr>
        <w:t>Nous vous remercions pour le temps que vous nous avez accordé ainsi que pour vos réponses.</w:t>
      </w:r>
    </w:p>
    <w:p w14:paraId="16920689" w14:textId="56C82E9C" w:rsidR="00D91F3F" w:rsidRPr="00D27EA1" w:rsidRDefault="00BC5303" w:rsidP="00E84862">
      <w:pPr>
        <w:shd w:val="clear" w:color="auto" w:fill="F2F2F2" w:themeFill="background1" w:themeFillShade="F2"/>
        <w:spacing w:after="120"/>
        <w:rPr>
          <w:b/>
          <w:bCs/>
          <w:lang w:val="fr-FR"/>
        </w:rPr>
      </w:pPr>
      <w:r w:rsidRPr="00D27EA1">
        <w:rPr>
          <w:b/>
          <w:bCs/>
          <w:lang w:val="fr-FR"/>
        </w:rPr>
        <w:t>Question 1</w:t>
      </w:r>
      <w:r w:rsidR="009F1154" w:rsidRPr="00D27EA1">
        <w:rPr>
          <w:b/>
          <w:bCs/>
          <w:lang w:val="fr-FR"/>
        </w:rPr>
        <w:t> :</w:t>
      </w:r>
      <w:r w:rsidR="00D91F3F" w:rsidRPr="00D27EA1">
        <w:rPr>
          <w:b/>
          <w:bCs/>
          <w:lang w:val="fr-FR"/>
        </w:rPr>
        <w:t xml:space="preserve"> Estimez-vous que les principes les plus importants quant au futur </w:t>
      </w:r>
      <w:r w:rsidR="008A28A9">
        <w:rPr>
          <w:b/>
          <w:bCs/>
          <w:lang w:val="fr-FR"/>
        </w:rPr>
        <w:t xml:space="preserve">du </w:t>
      </w:r>
      <w:r w:rsidR="00D91F3F" w:rsidRPr="00D27EA1">
        <w:rPr>
          <w:b/>
          <w:bCs/>
          <w:lang w:val="fr-FR"/>
        </w:rPr>
        <w:t xml:space="preserve">suivi de l’efficacité de l’aide </w:t>
      </w:r>
      <w:r w:rsidR="00EE75E5" w:rsidRPr="00D27EA1">
        <w:rPr>
          <w:b/>
          <w:bCs/>
          <w:lang w:val="fr-FR"/>
        </w:rPr>
        <w:t>pour le</w:t>
      </w:r>
      <w:r w:rsidR="00D91F3F" w:rsidRPr="00D27EA1">
        <w:rPr>
          <w:b/>
          <w:bCs/>
          <w:lang w:val="fr-FR"/>
        </w:rPr>
        <w:t xml:space="preserve"> secteur de la santé, énumérés dans l’encadré 4, ont été identifiés ?</w:t>
      </w:r>
    </w:p>
    <w:p w14:paraId="7ACB3502" w14:textId="77777777" w:rsidR="00120B73" w:rsidRPr="00D27EA1" w:rsidRDefault="00120B73" w:rsidP="004E49AB">
      <w:pPr>
        <w:rPr>
          <w:bCs/>
          <w:lang w:val="fr-FR"/>
        </w:rPr>
      </w:pPr>
      <w:r w:rsidRPr="00D27EA1">
        <w:rPr>
          <w:noProof/>
        </w:rPr>
        <mc:AlternateContent>
          <mc:Choice Requires="wps">
            <w:drawing>
              <wp:anchor distT="0" distB="0" distL="114300" distR="114300" simplePos="0" relativeHeight="251689984" behindDoc="0" locked="0" layoutInCell="1" allowOverlap="1" wp14:anchorId="45A5B043" wp14:editId="0067C845">
                <wp:simplePos x="0" y="0"/>
                <wp:positionH relativeFrom="column">
                  <wp:posOffset>15903</wp:posOffset>
                </wp:positionH>
                <wp:positionV relativeFrom="paragraph">
                  <wp:posOffset>36636</wp:posOffset>
                </wp:positionV>
                <wp:extent cx="5848350" cy="1129085"/>
                <wp:effectExtent l="0" t="0" r="19050" b="1397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29085"/>
                        </a:xfrm>
                        <a:prstGeom prst="rect">
                          <a:avLst/>
                        </a:prstGeom>
                        <a:solidFill>
                          <a:srgbClr val="FFFFFF"/>
                        </a:solidFill>
                        <a:ln w="9525">
                          <a:solidFill>
                            <a:srgbClr val="000000"/>
                          </a:solidFill>
                          <a:miter lim="800000"/>
                          <a:headEnd/>
                          <a:tailEnd/>
                        </a:ln>
                      </wps:spPr>
                      <wps:txbx>
                        <w:txbxContent>
                          <w:p w14:paraId="58B5552E" w14:textId="4D9D7A22" w:rsidR="00A43962" w:rsidRPr="00663316" w:rsidRDefault="00A43962" w:rsidP="00120B73">
                            <w:pPr>
                              <w:rPr>
                                <w:i/>
                                <w:lang w:val="fr-FR"/>
                              </w:rPr>
                            </w:pPr>
                            <w:r w:rsidRPr="00DB62C7">
                              <w:rPr>
                                <w:i/>
                                <w:lang w:val="fr-FR"/>
                              </w:rPr>
                              <w:t xml:space="preserve">Veuillez </w:t>
                            </w:r>
                            <w:r>
                              <w:rPr>
                                <w:i/>
                                <w:lang w:val="fr-FR"/>
                              </w:rPr>
                              <w:t>insérer</w:t>
                            </w:r>
                            <w:r w:rsidRPr="00663316">
                              <w:rPr>
                                <w:i/>
                                <w:lang w:val="fr-FR"/>
                              </w:rPr>
                              <w:t xml:space="preserve"> ici vos commentaires et suggestions :</w:t>
                            </w:r>
                          </w:p>
                          <w:p w14:paraId="3F91A23F" w14:textId="77777777" w:rsidR="00A43962" w:rsidRPr="00663316" w:rsidRDefault="00A43962" w:rsidP="009D3BF8">
                            <w:pPr>
                              <w:rPr>
                                <w:i/>
                                <w:lang w:val="fr-FR"/>
                              </w:rPr>
                            </w:pPr>
                            <w:r w:rsidRPr="00663316">
                              <w:rPr>
                                <w:i/>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6" type="#_x0000_t202" style="position:absolute;margin-left:1.25pt;margin-top:2.9pt;width:460.5pt;height:8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">
                <v:textbox>
                  <w:txbxContent>
                    <w:p w14:paraId="58B5552E" w14:textId="4D9D7A22" w:rsidR="00A43962" w:rsidRPr="00663316" w:rsidRDefault="00A43962" w:rsidP="00120B73">
                      <w:pPr>
                        <w:rPr>
                          <w:i/>
                          <w:lang w:val="fr-FR"/>
                        </w:rPr>
                      </w:pPr>
                      <w:r w:rsidRPr="00DB62C7">
                        <w:rPr>
                          <w:i/>
                          <w:lang w:val="fr-FR"/>
                        </w:rPr>
                        <w:t xml:space="preserve">Veuillez </w:t>
                      </w:r>
                      <w:r>
                        <w:rPr>
                          <w:i/>
                          <w:lang w:val="fr-FR"/>
                        </w:rPr>
                        <w:t>insérer</w:t>
                      </w:r>
                      <w:r w:rsidRPr="00663316">
                        <w:rPr>
                          <w:i/>
                          <w:lang w:val="fr-FR"/>
                        </w:rPr>
                        <w:t xml:space="preserve"> ici vos commentaires et suggestions :</w:t>
                      </w:r>
                    </w:p>
                    <w:p w14:paraId="3F91A23F" w14:textId="77777777" w:rsidR="00A43962" w:rsidRPr="00663316" w:rsidRDefault="00A43962" w:rsidP="009D3BF8">
                      <w:pPr>
                        <w:rPr>
                          <w:i/>
                          <w:lang w:val="fr-FR"/>
                        </w:rPr>
                      </w:pPr>
                      <w:r w:rsidRPr="00663316">
                        <w:rPr>
                          <w:i/>
                          <w:lang w:val="fr-FR"/>
                        </w:rPr>
                        <w:t>……………………………………………………………………………………………………………………………………………………………..………………………………………………………………………………………………………………………………………………………………………………………………………………………………………………………………………………………………………………</w:t>
                      </w:r>
                    </w:p>
                  </w:txbxContent>
                </v:textbox>
              </v:shape>
            </w:pict>
          </mc:Fallback>
        </mc:AlternateContent>
      </w:r>
    </w:p>
    <w:p w14:paraId="60BD780C" w14:textId="77777777" w:rsidR="00120B73" w:rsidRPr="00D27EA1" w:rsidRDefault="00120B73" w:rsidP="004E49AB">
      <w:pPr>
        <w:rPr>
          <w:bCs/>
          <w:lang w:val="fr-FR"/>
        </w:rPr>
      </w:pPr>
    </w:p>
    <w:p w14:paraId="5FB35AF8" w14:textId="77777777" w:rsidR="00120B73" w:rsidRPr="00D27EA1" w:rsidRDefault="00120B73" w:rsidP="004E49AB">
      <w:pPr>
        <w:rPr>
          <w:bCs/>
          <w:lang w:val="fr-FR"/>
        </w:rPr>
      </w:pPr>
    </w:p>
    <w:p w14:paraId="226BFAC7" w14:textId="77777777" w:rsidR="00D27EA1" w:rsidRPr="00D27EA1" w:rsidRDefault="00D27EA1" w:rsidP="00D27EA1">
      <w:pPr>
        <w:rPr>
          <w:b/>
          <w:bCs/>
          <w:lang w:val="fr-FR"/>
        </w:rPr>
      </w:pPr>
    </w:p>
    <w:p w14:paraId="4D045025" w14:textId="43C1D990" w:rsidR="00A62101" w:rsidRPr="00D27EA1" w:rsidRDefault="003662F1" w:rsidP="00182E95">
      <w:pPr>
        <w:shd w:val="clear" w:color="auto" w:fill="F2F2F2" w:themeFill="background1" w:themeFillShade="F2"/>
        <w:spacing w:after="120"/>
        <w:rPr>
          <w:b/>
          <w:bCs/>
          <w:lang w:val="fr-FR"/>
        </w:rPr>
      </w:pPr>
      <w:r w:rsidRPr="00D27EA1">
        <w:rPr>
          <w:b/>
          <w:bCs/>
          <w:lang w:val="fr-FR"/>
        </w:rPr>
        <w:t>Question 2</w:t>
      </w:r>
      <w:r w:rsidR="009F1154" w:rsidRPr="00D27EA1">
        <w:rPr>
          <w:b/>
          <w:bCs/>
          <w:lang w:val="fr-FR"/>
        </w:rPr>
        <w:t> :</w:t>
      </w:r>
      <w:r w:rsidRPr="00D27EA1">
        <w:rPr>
          <w:b/>
          <w:bCs/>
          <w:lang w:val="fr-FR"/>
        </w:rPr>
        <w:t xml:space="preserve"> </w:t>
      </w:r>
      <w:r w:rsidR="00A62101" w:rsidRPr="00D27EA1">
        <w:rPr>
          <w:b/>
          <w:bCs/>
          <w:lang w:val="fr-FR"/>
        </w:rPr>
        <w:t>Avez-vous des exemples actuels de suivi des engagements en matière d’efficacité de l’aide au niveau des pays</w:t>
      </w:r>
      <w:r w:rsidR="00912A66" w:rsidRPr="00D27EA1">
        <w:rPr>
          <w:b/>
          <w:bCs/>
          <w:lang w:val="fr-FR"/>
        </w:rPr>
        <w:t>,</w:t>
      </w:r>
      <w:r w:rsidR="00A62101" w:rsidRPr="00D27EA1">
        <w:rPr>
          <w:b/>
          <w:bCs/>
          <w:lang w:val="fr-FR"/>
        </w:rPr>
        <w:t xml:space="preserve"> et de la façon dont le</w:t>
      </w:r>
      <w:r w:rsidR="00912A66" w:rsidRPr="00D27EA1">
        <w:rPr>
          <w:b/>
          <w:bCs/>
          <w:lang w:val="fr-FR"/>
        </w:rPr>
        <w:t>ur</w:t>
      </w:r>
      <w:r w:rsidR="00A62101" w:rsidRPr="00D27EA1">
        <w:rPr>
          <w:b/>
          <w:bCs/>
          <w:lang w:val="fr-FR"/>
        </w:rPr>
        <w:t xml:space="preserve">s résultats sont utilisés dans le cadre d’une redevabilité mutuelle accrue pour les </w:t>
      </w:r>
      <w:r w:rsidR="00912A66" w:rsidRPr="00D27EA1">
        <w:rPr>
          <w:rFonts w:eastAsia="Times New Roman" w:cs="Times New Roman"/>
          <w:b/>
          <w:bCs/>
          <w:lang w:val="fr-FR"/>
        </w:rPr>
        <w:t>résultats en matière de santé ?</w:t>
      </w:r>
    </w:p>
    <w:p w14:paraId="475C97A2" w14:textId="4C49E75F" w:rsidR="00912A66" w:rsidRPr="00D27EA1" w:rsidRDefault="00912A66" w:rsidP="00A9333F">
      <w:pPr>
        <w:rPr>
          <w:bCs/>
          <w:lang w:val="fr-FR"/>
        </w:rPr>
      </w:pPr>
      <w:r w:rsidRPr="00D27EA1">
        <w:rPr>
          <w:bCs/>
          <w:lang w:val="fr-FR"/>
        </w:rPr>
        <w:t>Par exemple</w:t>
      </w:r>
      <w:r w:rsidR="003811E7" w:rsidRPr="00D27EA1">
        <w:rPr>
          <w:bCs/>
          <w:lang w:val="fr-FR"/>
        </w:rPr>
        <w:t xml:space="preserve"> : un examen des engagements </w:t>
      </w:r>
      <w:r w:rsidR="00745EC5" w:rsidRPr="00D27EA1">
        <w:rPr>
          <w:bCs/>
          <w:lang w:val="fr-FR"/>
        </w:rPr>
        <w:t xml:space="preserve">pris </w:t>
      </w:r>
      <w:r w:rsidR="003811E7" w:rsidRPr="00D27EA1">
        <w:rPr>
          <w:bCs/>
          <w:lang w:val="fr-FR"/>
        </w:rPr>
        <w:t>dans l</w:t>
      </w:r>
      <w:r w:rsidR="00E94E6D" w:rsidRPr="00D27EA1">
        <w:rPr>
          <w:bCs/>
          <w:lang w:val="fr-FR"/>
        </w:rPr>
        <w:t>e cadre d</w:t>
      </w:r>
      <w:r w:rsidR="003811E7" w:rsidRPr="00D27EA1">
        <w:rPr>
          <w:bCs/>
          <w:lang w:val="fr-FR"/>
        </w:rPr>
        <w:t xml:space="preserve">es pactes lors des examens annuels conjoints ; </w:t>
      </w:r>
      <w:r w:rsidR="0029700F" w:rsidRPr="00D27EA1">
        <w:rPr>
          <w:bCs/>
          <w:lang w:val="fr-FR"/>
        </w:rPr>
        <w:t>d</w:t>
      </w:r>
      <w:r w:rsidR="003811E7" w:rsidRPr="00D27EA1">
        <w:rPr>
          <w:bCs/>
          <w:lang w:val="fr-FR"/>
        </w:rPr>
        <w:t>es sessions spéciales des comités parlementaires ; l’</w:t>
      </w:r>
      <w:r w:rsidR="00745EC5" w:rsidRPr="00D27EA1">
        <w:rPr>
          <w:bCs/>
          <w:lang w:val="fr-FR"/>
        </w:rPr>
        <w:t>utilisation de f</w:t>
      </w:r>
      <w:r w:rsidR="003811E7" w:rsidRPr="00D27EA1">
        <w:rPr>
          <w:bCs/>
          <w:lang w:val="fr-FR"/>
        </w:rPr>
        <w:t xml:space="preserve">iches </w:t>
      </w:r>
      <w:r w:rsidR="00745EC5" w:rsidRPr="00D27EA1">
        <w:rPr>
          <w:lang w:val="fr-FR"/>
        </w:rPr>
        <w:t>d'évaluation par la société civile, l’utilisation de fiches d’évaluations lors d’un dialogue direct entre le gouvernement et des partenaires du développement spécifiques ; veuillez les énum</w:t>
      </w:r>
      <w:r w:rsidR="0029700F" w:rsidRPr="00D27EA1">
        <w:rPr>
          <w:lang w:val="fr-FR"/>
        </w:rPr>
        <w:t>érer et expliquer comment ceux-ci sont utilisé</w:t>
      </w:r>
      <w:r w:rsidR="00745EC5" w:rsidRPr="00D27EA1">
        <w:rPr>
          <w:lang w:val="fr-FR"/>
        </w:rPr>
        <w:t>s en ce moment.</w:t>
      </w:r>
    </w:p>
    <w:p w14:paraId="23805BE4" w14:textId="0E520B21" w:rsidR="00D27EA1" w:rsidRPr="00D27EA1" w:rsidRDefault="00912A66" w:rsidP="009D3BF8">
      <w:pPr>
        <w:rPr>
          <w:lang w:val="fr-FR"/>
        </w:rPr>
      </w:pPr>
      <w:r w:rsidRPr="00D27EA1">
        <w:rPr>
          <w:b/>
          <w:bCs/>
          <w:noProof/>
        </w:rPr>
        <mc:AlternateContent>
          <mc:Choice Requires="wps">
            <w:drawing>
              <wp:inline distT="0" distB="0" distL="0" distR="0" wp14:anchorId="41F4017D" wp14:editId="48E9EB48">
                <wp:extent cx="5848350" cy="1057275"/>
                <wp:effectExtent l="0" t="0" r="19050" b="34925"/>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5727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06229E" w14:textId="5E085792" w:rsidR="00A43962" w:rsidRPr="00E15AF7" w:rsidRDefault="00A43962" w:rsidP="00E94E6D">
                            <w:pPr>
                              <w:rPr>
                                <w:i/>
                                <w:lang w:val="fr-FR"/>
                              </w:rPr>
                            </w:pPr>
                            <w:r w:rsidRPr="00E15AF7">
                              <w:rPr>
                                <w:i/>
                                <w:lang w:val="fr-FR"/>
                              </w:rPr>
                              <w:t xml:space="preserve">Veuillez </w:t>
                            </w:r>
                            <w:r>
                              <w:rPr>
                                <w:i/>
                                <w:lang w:val="fr-FR"/>
                              </w:rPr>
                              <w:t>insérer</w:t>
                            </w:r>
                            <w:r w:rsidRPr="00E15AF7">
                              <w:rPr>
                                <w:i/>
                                <w:lang w:val="fr-FR"/>
                              </w:rPr>
                              <w:t xml:space="preserve"> ici vos commentaires et suggestions :</w:t>
                            </w:r>
                          </w:p>
                          <w:p w14:paraId="0BAF76CC" w14:textId="77777777" w:rsidR="00A43962" w:rsidRPr="00144059" w:rsidRDefault="00A43962" w:rsidP="00912A66">
                            <w:pPr>
                              <w:rPr>
                                <w:i/>
                              </w:rPr>
                            </w:pPr>
                            <w:r>
                              <w:rPr>
                                <w:i/>
                              </w:rPr>
                              <w:t>…..…………………………………………………………………………………………………………………………………………………………………………………………………………………………………………………………………………………………………………………………………………………………………………………………………………………………………………………………………………</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id="Text Box 28" o:spid="_x0000_s1027" type="#_x0000_t202" style="width:460.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">
                <v:textbox>
                  <w:txbxContent>
                    <w:p w14:paraId="3706229E" w14:textId="5E085792" w:rsidR="00A43962" w:rsidRPr="00E15AF7" w:rsidRDefault="00A43962" w:rsidP="00E94E6D">
                      <w:pPr>
                        <w:rPr>
                          <w:i/>
                          <w:lang w:val="fr-FR"/>
                        </w:rPr>
                      </w:pPr>
                      <w:r w:rsidRPr="00E15AF7">
                        <w:rPr>
                          <w:i/>
                          <w:lang w:val="fr-FR"/>
                        </w:rPr>
                        <w:t xml:space="preserve">Veuillez </w:t>
                      </w:r>
                      <w:r>
                        <w:rPr>
                          <w:i/>
                          <w:lang w:val="fr-FR"/>
                        </w:rPr>
                        <w:t>insérer</w:t>
                      </w:r>
                      <w:r w:rsidRPr="00E15AF7">
                        <w:rPr>
                          <w:i/>
                          <w:lang w:val="fr-FR"/>
                        </w:rPr>
                        <w:t xml:space="preserve"> ici vos commentaires et suggestions :</w:t>
                      </w:r>
                    </w:p>
                    <w:p w14:paraId="0BAF76CC" w14:textId="77777777" w:rsidR="00A43962" w:rsidRPr="00144059" w:rsidRDefault="00A43962" w:rsidP="00912A66">
                      <w:pPr>
                        <w:rPr>
                          <w:i/>
                        </w:rPr>
                      </w:pPr>
                      <w:r>
                        <w:rPr>
                          <w:i/>
                        </w:rPr>
                        <w:t>…..…………………………………………………………………………………………………………………………………………………………………………………………………………………………………………………………………………………………………………………………………………………………………………………………………………………………………………………………………………</w:t>
                      </w:r>
                    </w:p>
                  </w:txbxContent>
                </v:textbox>
                <w10:anchorlock/>
              </v:shape>
            </w:pict>
          </mc:Fallback>
        </mc:AlternateContent>
      </w:r>
    </w:p>
    <w:p w14:paraId="7D976308" w14:textId="268EF03D" w:rsidR="009F1154" w:rsidRPr="00D27EA1" w:rsidRDefault="00D0116B" w:rsidP="007811C2">
      <w:pPr>
        <w:shd w:val="clear" w:color="auto" w:fill="F2F2F2" w:themeFill="background1" w:themeFillShade="F2"/>
        <w:spacing w:before="240" w:after="120"/>
        <w:rPr>
          <w:b/>
          <w:bCs/>
          <w:lang w:val="fr-FR"/>
        </w:rPr>
      </w:pPr>
      <w:r w:rsidRPr="00D27EA1">
        <w:rPr>
          <w:b/>
          <w:bCs/>
          <w:lang w:val="fr-FR"/>
        </w:rPr>
        <w:t xml:space="preserve">Question </w:t>
      </w:r>
      <w:r w:rsidR="003662F1" w:rsidRPr="00D27EA1">
        <w:rPr>
          <w:b/>
          <w:bCs/>
          <w:lang w:val="fr-FR"/>
        </w:rPr>
        <w:t>3</w:t>
      </w:r>
      <w:r w:rsidR="009F1154" w:rsidRPr="00D27EA1">
        <w:rPr>
          <w:b/>
          <w:bCs/>
          <w:lang w:val="fr-FR"/>
        </w:rPr>
        <w:t> : Quels sont</w:t>
      </w:r>
      <w:r w:rsidR="00F43C97" w:rsidRPr="00D27EA1">
        <w:rPr>
          <w:b/>
          <w:bCs/>
          <w:lang w:val="fr-FR"/>
        </w:rPr>
        <w:t xml:space="preserve"> les </w:t>
      </w:r>
      <w:r w:rsidR="009F1154" w:rsidRPr="00D27EA1">
        <w:rPr>
          <w:b/>
          <w:bCs/>
          <w:lang w:val="fr-FR"/>
        </w:rPr>
        <w:t xml:space="preserve">indicateurs sur l’efficacité de l’aide les plus importants et les </w:t>
      </w:r>
      <w:r w:rsidR="00F43C97" w:rsidRPr="00D27EA1">
        <w:rPr>
          <w:b/>
          <w:bCs/>
          <w:lang w:val="fr-FR"/>
        </w:rPr>
        <w:t xml:space="preserve">plus </w:t>
      </w:r>
      <w:r w:rsidR="009F1154" w:rsidRPr="00D27EA1">
        <w:rPr>
          <w:b/>
          <w:bCs/>
          <w:lang w:val="fr-FR"/>
        </w:rPr>
        <w:t xml:space="preserve">pertinents pour le secteur de la santé ? </w:t>
      </w:r>
    </w:p>
    <w:p w14:paraId="2CB08C42" w14:textId="728F516D" w:rsidR="007811C2" w:rsidRPr="00D27EA1" w:rsidRDefault="009F1154" w:rsidP="00D27EA1">
      <w:pPr>
        <w:ind w:right="-12"/>
        <w:rPr>
          <w:lang w:val="fr-FR"/>
        </w:rPr>
      </w:pPr>
      <w:r w:rsidRPr="00D27EA1">
        <w:rPr>
          <w:bCs/>
          <w:lang w:val="fr-FR"/>
        </w:rPr>
        <w:t>Un examen des indicateurs utilisés dans le</w:t>
      </w:r>
      <w:r w:rsidR="00EE75E5" w:rsidRPr="00D27EA1">
        <w:rPr>
          <w:bCs/>
          <w:lang w:val="fr-FR"/>
        </w:rPr>
        <w:t>s</w:t>
      </w:r>
      <w:r w:rsidRPr="00D27EA1">
        <w:rPr>
          <w:bCs/>
          <w:lang w:val="fr-FR"/>
        </w:rPr>
        <w:t xml:space="preserve"> pacte</w:t>
      </w:r>
      <w:r w:rsidR="00EE75E5" w:rsidRPr="00D27EA1">
        <w:rPr>
          <w:bCs/>
          <w:lang w:val="fr-FR"/>
        </w:rPr>
        <w:t>s nationaux du</w:t>
      </w:r>
      <w:r w:rsidRPr="00D27EA1">
        <w:rPr>
          <w:bCs/>
          <w:lang w:val="fr-FR"/>
        </w:rPr>
        <w:t xml:space="preserve"> IHP+ a donné une idée </w:t>
      </w:r>
      <w:r w:rsidR="00B0189C">
        <w:rPr>
          <w:bCs/>
          <w:lang w:val="fr-FR"/>
        </w:rPr>
        <w:t>sur les</w:t>
      </w:r>
      <w:r w:rsidR="00B0189C" w:rsidRPr="00D27EA1">
        <w:rPr>
          <w:bCs/>
          <w:lang w:val="fr-FR"/>
        </w:rPr>
        <w:t xml:space="preserve"> </w:t>
      </w:r>
      <w:r w:rsidRPr="00D27EA1">
        <w:rPr>
          <w:bCs/>
          <w:lang w:val="fr-FR"/>
        </w:rPr>
        <w:t>questions et des indicateurs les plus importants pour les pays</w:t>
      </w:r>
      <w:r w:rsidR="00F81A7A" w:rsidRPr="00D27EA1">
        <w:rPr>
          <w:bCs/>
          <w:lang w:val="fr-FR"/>
        </w:rPr>
        <w:t xml:space="preserve"> afin de suivre l’efficacité de l’aide dans le secteur de la santé (voir l’encadré 2). L’encadré 4 ci-dessus </w:t>
      </w:r>
      <w:r w:rsidR="003F1274" w:rsidRPr="00D27EA1">
        <w:rPr>
          <w:bCs/>
          <w:lang w:val="fr-FR"/>
        </w:rPr>
        <w:t>propose</w:t>
      </w:r>
      <w:r w:rsidR="00F81A7A" w:rsidRPr="00D27EA1">
        <w:rPr>
          <w:bCs/>
          <w:lang w:val="fr-FR"/>
        </w:rPr>
        <w:t xml:space="preserve"> un ensemble de principes pour le futur </w:t>
      </w:r>
      <w:r w:rsidR="00B0189C">
        <w:rPr>
          <w:bCs/>
          <w:lang w:val="fr-FR"/>
        </w:rPr>
        <w:t xml:space="preserve">du </w:t>
      </w:r>
      <w:r w:rsidR="00F81A7A" w:rsidRPr="00D27EA1">
        <w:rPr>
          <w:bCs/>
          <w:lang w:val="fr-FR"/>
        </w:rPr>
        <w:t>suivi</w:t>
      </w:r>
      <w:r w:rsidR="003F1274" w:rsidRPr="00D27EA1">
        <w:rPr>
          <w:bCs/>
          <w:lang w:val="fr-FR"/>
        </w:rPr>
        <w:t>, lequel</w:t>
      </w:r>
      <w:r w:rsidR="00A0213E" w:rsidRPr="00D27EA1">
        <w:rPr>
          <w:bCs/>
          <w:lang w:val="fr-FR"/>
        </w:rPr>
        <w:t xml:space="preserve"> </w:t>
      </w:r>
      <w:r w:rsidR="003F1274" w:rsidRPr="00D27EA1">
        <w:rPr>
          <w:bCs/>
          <w:lang w:val="fr-FR"/>
        </w:rPr>
        <w:t>a</w:t>
      </w:r>
      <w:r w:rsidR="00A0213E" w:rsidRPr="00D27EA1">
        <w:rPr>
          <w:bCs/>
          <w:lang w:val="fr-FR"/>
        </w:rPr>
        <w:t xml:space="preserve"> </w:t>
      </w:r>
      <w:r w:rsidR="003F1274" w:rsidRPr="00D27EA1">
        <w:rPr>
          <w:bCs/>
          <w:lang w:val="fr-FR"/>
        </w:rPr>
        <w:t>été approuvé</w:t>
      </w:r>
      <w:r w:rsidR="00A0213E" w:rsidRPr="00D27EA1">
        <w:rPr>
          <w:bCs/>
          <w:lang w:val="fr-FR"/>
        </w:rPr>
        <w:t xml:space="preserve"> par le Groupe de travail sur la redevabilité mutuelle du IHP+. Sur cette base, une courte liste inclua</w:t>
      </w:r>
      <w:r w:rsidR="003F1274" w:rsidRPr="00D27EA1">
        <w:rPr>
          <w:bCs/>
          <w:lang w:val="fr-FR"/>
        </w:rPr>
        <w:t>nt six questions, lesquelles pourraient</w:t>
      </w:r>
      <w:r w:rsidR="00A0213E" w:rsidRPr="00D27EA1">
        <w:rPr>
          <w:bCs/>
          <w:lang w:val="fr-FR"/>
        </w:rPr>
        <w:t xml:space="preserve"> </w:t>
      </w:r>
      <w:r w:rsidR="003F1274" w:rsidRPr="00D27EA1">
        <w:rPr>
          <w:bCs/>
          <w:lang w:val="fr-FR"/>
        </w:rPr>
        <w:t>former un</w:t>
      </w:r>
      <w:r w:rsidR="00A0213E" w:rsidRPr="00D27EA1">
        <w:rPr>
          <w:bCs/>
          <w:lang w:val="fr-FR"/>
        </w:rPr>
        <w:t xml:space="preserve"> « </w:t>
      </w:r>
      <w:r w:rsidR="00EE75E5" w:rsidRPr="00D27EA1">
        <w:rPr>
          <w:bCs/>
          <w:lang w:val="fr-FR"/>
        </w:rPr>
        <w:t>ensemble minimal</w:t>
      </w:r>
      <w:r w:rsidR="003F1274" w:rsidRPr="00D27EA1">
        <w:rPr>
          <w:bCs/>
          <w:lang w:val="fr-FR"/>
        </w:rPr>
        <w:t xml:space="preserve"> » pour le suivi par le biais du IHP+, est présentée ci-après, accompagnée d’une brève description des indicateurs existants qui y sont associés. </w:t>
      </w:r>
    </w:p>
    <w:p w14:paraId="0C0192C7" w14:textId="3E0CFF15" w:rsidR="00AD1825" w:rsidRPr="00D27EA1" w:rsidRDefault="008D5920" w:rsidP="00D66B76">
      <w:pPr>
        <w:shd w:val="clear" w:color="auto" w:fill="F2F2F2" w:themeFill="background1" w:themeFillShade="F2"/>
        <w:spacing w:after="120"/>
        <w:rPr>
          <w:b/>
          <w:bCs/>
          <w:lang w:val="fr-FR"/>
        </w:rPr>
      </w:pPr>
      <w:r w:rsidRPr="00D27EA1">
        <w:rPr>
          <w:b/>
          <w:bCs/>
          <w:lang w:val="fr-FR"/>
        </w:rPr>
        <w:t>Question 3a</w:t>
      </w:r>
      <w:r w:rsidR="0035034F" w:rsidRPr="00D27EA1">
        <w:rPr>
          <w:b/>
          <w:bCs/>
          <w:lang w:val="fr-FR"/>
        </w:rPr>
        <w:t> :</w:t>
      </w:r>
      <w:r w:rsidRPr="00D27EA1">
        <w:rPr>
          <w:b/>
          <w:bCs/>
          <w:lang w:val="fr-FR"/>
        </w:rPr>
        <w:t xml:space="preserve"> </w:t>
      </w:r>
      <w:r w:rsidR="003F1274" w:rsidRPr="00D27EA1">
        <w:rPr>
          <w:b/>
          <w:bCs/>
          <w:lang w:val="fr-FR"/>
        </w:rPr>
        <w:t xml:space="preserve">Veuillez cocher les questions ET les indicateurs dont vous convenez qu’ils sont les plus </w:t>
      </w:r>
      <w:proofErr w:type="gramStart"/>
      <w:r w:rsidR="003F1274" w:rsidRPr="00D27EA1">
        <w:rPr>
          <w:b/>
          <w:bCs/>
          <w:lang w:val="fr-FR"/>
        </w:rPr>
        <w:t>pertinents</w:t>
      </w:r>
      <w:proofErr w:type="gramEnd"/>
      <w:r w:rsidR="003F1274" w:rsidRPr="00D27EA1">
        <w:rPr>
          <w:b/>
          <w:bCs/>
          <w:lang w:val="fr-FR"/>
        </w:rPr>
        <w:t xml:space="preserve"> et importants</w:t>
      </w:r>
      <w:r w:rsidR="00E51B7A" w:rsidRPr="00D27EA1">
        <w:rPr>
          <w:b/>
          <w:bCs/>
          <w:lang w:val="fr-FR"/>
        </w:rPr>
        <w:t>,</w:t>
      </w:r>
      <w:r w:rsidR="003F1274" w:rsidRPr="00D27EA1">
        <w:rPr>
          <w:b/>
          <w:bCs/>
          <w:lang w:val="fr-FR"/>
        </w:rPr>
        <w:t xml:space="preserve"> et </w:t>
      </w:r>
      <w:r w:rsidR="00E51B7A" w:rsidRPr="00D27EA1">
        <w:rPr>
          <w:b/>
          <w:bCs/>
          <w:lang w:val="fr-FR"/>
        </w:rPr>
        <w:t>dont le suivi devrait être maintenu</w:t>
      </w:r>
      <w:r w:rsidR="003F1274" w:rsidRPr="00D27EA1">
        <w:rPr>
          <w:b/>
          <w:bCs/>
          <w:lang w:val="fr-FR"/>
        </w:rPr>
        <w:t>:</w:t>
      </w:r>
    </w:p>
    <w:tbl>
      <w:tblPr>
        <w:tblStyle w:val="TableGrid"/>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664"/>
        <w:gridCol w:w="3408"/>
        <w:gridCol w:w="3408"/>
      </w:tblGrid>
      <w:tr w:rsidR="00120B73" w:rsidRPr="004545B0" w14:paraId="2F9E11A0" w14:textId="77777777" w:rsidTr="00D27EA1">
        <w:tc>
          <w:tcPr>
            <w:tcW w:w="2664" w:type="dxa"/>
            <w:vMerge w:val="restart"/>
            <w:shd w:val="clear" w:color="auto" w:fill="F2F2F2" w:themeFill="background1" w:themeFillShade="F2"/>
            <w:vAlign w:val="center"/>
          </w:tcPr>
          <w:p w14:paraId="336884C1" w14:textId="1584CD93" w:rsidR="00120B73" w:rsidRPr="00D27EA1" w:rsidRDefault="00E51B7A" w:rsidP="00DB62C7">
            <w:pPr>
              <w:spacing w:after="120"/>
              <w:rPr>
                <w:b/>
                <w:bCs/>
                <w:sz w:val="20"/>
                <w:szCs w:val="20"/>
                <w:lang w:val="fr-FR"/>
              </w:rPr>
            </w:pPr>
            <w:r w:rsidRPr="00D27EA1">
              <w:rPr>
                <w:b/>
                <w:bCs/>
                <w:sz w:val="20"/>
                <w:szCs w:val="20"/>
                <w:lang w:val="fr-FR"/>
              </w:rPr>
              <w:t>Questions dont le suivi devrait être maintenu</w:t>
            </w:r>
            <w:r w:rsidR="00120B73" w:rsidRPr="00D27EA1">
              <w:rPr>
                <w:b/>
                <w:bCs/>
                <w:sz w:val="20"/>
                <w:szCs w:val="20"/>
                <w:lang w:val="fr-FR"/>
              </w:rPr>
              <w:t xml:space="preserve"> </w:t>
            </w:r>
          </w:p>
        </w:tc>
        <w:tc>
          <w:tcPr>
            <w:tcW w:w="6816" w:type="dxa"/>
            <w:gridSpan w:val="2"/>
            <w:shd w:val="clear" w:color="auto" w:fill="F2F2F2" w:themeFill="background1" w:themeFillShade="F2"/>
          </w:tcPr>
          <w:p w14:paraId="4BB9BD40" w14:textId="0D117840" w:rsidR="00120B73" w:rsidRPr="00D27EA1" w:rsidRDefault="00120B73" w:rsidP="00DB62C7">
            <w:pPr>
              <w:spacing w:after="120"/>
              <w:jc w:val="center"/>
              <w:rPr>
                <w:b/>
                <w:bCs/>
                <w:sz w:val="20"/>
                <w:szCs w:val="20"/>
                <w:lang w:val="fr-FR"/>
              </w:rPr>
            </w:pPr>
            <w:r w:rsidRPr="00D27EA1">
              <w:rPr>
                <w:b/>
                <w:bCs/>
                <w:sz w:val="20"/>
                <w:szCs w:val="20"/>
                <w:lang w:val="fr-FR"/>
              </w:rPr>
              <w:t>Description/</w:t>
            </w:r>
            <w:r w:rsidR="00B57C93" w:rsidRPr="00D27EA1">
              <w:rPr>
                <w:b/>
                <w:bCs/>
                <w:sz w:val="20"/>
                <w:szCs w:val="20"/>
                <w:lang w:val="fr-FR"/>
              </w:rPr>
              <w:t>portée des indicateurs</w:t>
            </w:r>
            <w:r w:rsidRPr="00D27EA1">
              <w:rPr>
                <w:b/>
                <w:bCs/>
                <w:sz w:val="20"/>
                <w:szCs w:val="20"/>
                <w:lang w:val="fr-FR"/>
              </w:rPr>
              <w:t xml:space="preserve"> </w:t>
            </w:r>
            <w:r w:rsidR="00FD7331" w:rsidRPr="00D27EA1">
              <w:rPr>
                <w:b/>
                <w:bCs/>
                <w:sz w:val="20"/>
                <w:szCs w:val="20"/>
                <w:lang w:val="fr-FR"/>
              </w:rPr>
              <w:t xml:space="preserve">éventuels </w:t>
            </w:r>
          </w:p>
        </w:tc>
      </w:tr>
      <w:tr w:rsidR="00C5106B" w:rsidRPr="00D27EA1" w14:paraId="2647CBC8" w14:textId="77777777" w:rsidTr="00D27EA1">
        <w:tc>
          <w:tcPr>
            <w:tcW w:w="2664" w:type="dxa"/>
            <w:vMerge/>
            <w:shd w:val="clear" w:color="auto" w:fill="F2F2F2" w:themeFill="background1" w:themeFillShade="F2"/>
          </w:tcPr>
          <w:p w14:paraId="5E16E4A4" w14:textId="77777777" w:rsidR="00120B73" w:rsidRPr="00D27EA1" w:rsidRDefault="00120B73" w:rsidP="005D21DD">
            <w:pPr>
              <w:spacing w:after="120" w:line="276" w:lineRule="auto"/>
              <w:rPr>
                <w:b/>
                <w:bCs/>
                <w:sz w:val="20"/>
                <w:szCs w:val="20"/>
                <w:lang w:val="fr-FR"/>
              </w:rPr>
            </w:pPr>
          </w:p>
        </w:tc>
        <w:tc>
          <w:tcPr>
            <w:tcW w:w="3408" w:type="dxa"/>
            <w:shd w:val="clear" w:color="auto" w:fill="F2F2F2" w:themeFill="background1" w:themeFillShade="F2"/>
            <w:vAlign w:val="center"/>
          </w:tcPr>
          <w:p w14:paraId="2F4E464A" w14:textId="20D69165" w:rsidR="00120B73" w:rsidRPr="00D27EA1" w:rsidRDefault="00120B73" w:rsidP="00663316">
            <w:pPr>
              <w:spacing w:before="120" w:after="120" w:line="276" w:lineRule="auto"/>
              <w:jc w:val="center"/>
              <w:rPr>
                <w:b/>
                <w:bCs/>
                <w:sz w:val="20"/>
                <w:szCs w:val="20"/>
                <w:lang w:val="fr-FR"/>
              </w:rPr>
            </w:pPr>
            <w:r w:rsidRPr="00D27EA1">
              <w:rPr>
                <w:b/>
                <w:bCs/>
                <w:sz w:val="20"/>
                <w:szCs w:val="20"/>
                <w:lang w:val="fr-FR"/>
              </w:rPr>
              <w:t>Go</w:t>
            </w:r>
            <w:r w:rsidR="00B57C93" w:rsidRPr="00D27EA1">
              <w:rPr>
                <w:b/>
                <w:bCs/>
                <w:sz w:val="20"/>
                <w:szCs w:val="20"/>
                <w:lang w:val="fr-FR"/>
              </w:rPr>
              <w:t>u</w:t>
            </w:r>
            <w:r w:rsidRPr="00D27EA1">
              <w:rPr>
                <w:b/>
                <w:bCs/>
                <w:sz w:val="20"/>
                <w:szCs w:val="20"/>
                <w:lang w:val="fr-FR"/>
              </w:rPr>
              <w:t>vern</w:t>
            </w:r>
            <w:r w:rsidR="00B57C93" w:rsidRPr="00D27EA1">
              <w:rPr>
                <w:b/>
                <w:bCs/>
                <w:sz w:val="20"/>
                <w:szCs w:val="20"/>
                <w:lang w:val="fr-FR"/>
              </w:rPr>
              <w:t>e</w:t>
            </w:r>
            <w:r w:rsidRPr="00D27EA1">
              <w:rPr>
                <w:b/>
                <w:bCs/>
                <w:sz w:val="20"/>
                <w:szCs w:val="20"/>
                <w:lang w:val="fr-FR"/>
              </w:rPr>
              <w:t>ment</w:t>
            </w:r>
          </w:p>
        </w:tc>
        <w:tc>
          <w:tcPr>
            <w:tcW w:w="3408" w:type="dxa"/>
            <w:shd w:val="clear" w:color="auto" w:fill="F2F2F2" w:themeFill="background1" w:themeFillShade="F2"/>
            <w:vAlign w:val="center"/>
          </w:tcPr>
          <w:p w14:paraId="68EB4F22" w14:textId="20E05EA1" w:rsidR="00120B73" w:rsidRPr="00D27EA1" w:rsidRDefault="00B57C93" w:rsidP="00663316">
            <w:pPr>
              <w:keepNext/>
              <w:keepLines/>
              <w:spacing w:before="120" w:after="120" w:line="276" w:lineRule="auto"/>
              <w:jc w:val="center"/>
              <w:outlineLvl w:val="3"/>
              <w:rPr>
                <w:b/>
                <w:bCs/>
                <w:sz w:val="20"/>
                <w:szCs w:val="20"/>
                <w:lang w:val="fr-FR"/>
              </w:rPr>
            </w:pPr>
            <w:r w:rsidRPr="00D27EA1">
              <w:rPr>
                <w:b/>
                <w:bCs/>
                <w:sz w:val="20"/>
                <w:szCs w:val="20"/>
                <w:lang w:val="fr-FR"/>
              </w:rPr>
              <w:t>P</w:t>
            </w:r>
            <w:r w:rsidR="00120B73" w:rsidRPr="00D27EA1">
              <w:rPr>
                <w:b/>
                <w:bCs/>
                <w:sz w:val="20"/>
                <w:szCs w:val="20"/>
                <w:lang w:val="fr-FR"/>
              </w:rPr>
              <w:t>art</w:t>
            </w:r>
            <w:r w:rsidRPr="00D27EA1">
              <w:rPr>
                <w:b/>
                <w:bCs/>
                <w:sz w:val="20"/>
                <w:szCs w:val="20"/>
                <w:lang w:val="fr-FR"/>
              </w:rPr>
              <w:t>e</w:t>
            </w:r>
            <w:r w:rsidR="00120B73" w:rsidRPr="00D27EA1">
              <w:rPr>
                <w:b/>
                <w:bCs/>
                <w:sz w:val="20"/>
                <w:szCs w:val="20"/>
                <w:lang w:val="fr-FR"/>
              </w:rPr>
              <w:t>n</w:t>
            </w:r>
            <w:r w:rsidRPr="00D27EA1">
              <w:rPr>
                <w:b/>
                <w:bCs/>
                <w:sz w:val="20"/>
                <w:szCs w:val="20"/>
                <w:lang w:val="fr-FR"/>
              </w:rPr>
              <w:t>ai</w:t>
            </w:r>
            <w:r w:rsidR="00120B73" w:rsidRPr="00D27EA1">
              <w:rPr>
                <w:b/>
                <w:bCs/>
                <w:sz w:val="20"/>
                <w:szCs w:val="20"/>
                <w:lang w:val="fr-FR"/>
              </w:rPr>
              <w:t>r</w:t>
            </w:r>
            <w:r w:rsidRPr="00D27EA1">
              <w:rPr>
                <w:b/>
                <w:bCs/>
                <w:sz w:val="20"/>
                <w:szCs w:val="20"/>
                <w:lang w:val="fr-FR"/>
              </w:rPr>
              <w:t>e du développement</w:t>
            </w:r>
          </w:p>
        </w:tc>
      </w:tr>
      <w:tr w:rsidR="00C5106B" w:rsidRPr="004545B0" w14:paraId="607A25BC" w14:textId="77777777" w:rsidTr="00D27EA1">
        <w:tc>
          <w:tcPr>
            <w:tcW w:w="2664" w:type="dxa"/>
          </w:tcPr>
          <w:p w14:paraId="2B6177DF" w14:textId="5A9B098C" w:rsidR="00120B73" w:rsidRPr="00D27EA1" w:rsidRDefault="00A26D9D" w:rsidP="0094401C">
            <w:pPr>
              <w:pStyle w:val="ListParagraph"/>
              <w:keepNext/>
              <w:keepLines/>
              <w:numPr>
                <w:ilvl w:val="0"/>
                <w:numId w:val="27"/>
              </w:numPr>
              <w:spacing w:before="200" w:after="120" w:line="276" w:lineRule="auto"/>
              <w:outlineLvl w:val="3"/>
              <w:rPr>
                <w:b/>
                <w:bCs/>
                <w:sz w:val="20"/>
                <w:szCs w:val="20"/>
                <w:lang w:val="fr-FR"/>
              </w:rPr>
            </w:pPr>
            <w:r w:rsidRPr="00D27EA1">
              <w:rPr>
                <w:b/>
                <w:bCs/>
                <w:sz w:val="20"/>
                <w:szCs w:val="20"/>
                <w:lang w:val="fr-FR"/>
              </w:rPr>
              <w:t>AXÉS</w:t>
            </w:r>
            <w:r w:rsidR="00514534" w:rsidRPr="00D27EA1">
              <w:rPr>
                <w:b/>
                <w:bCs/>
                <w:sz w:val="20"/>
                <w:szCs w:val="20"/>
                <w:lang w:val="fr-FR"/>
              </w:rPr>
              <w:t xml:space="preserve"> SUR LES RÉSULTATS</w:t>
            </w:r>
          </w:p>
        </w:tc>
        <w:tc>
          <w:tcPr>
            <w:tcW w:w="3408" w:type="dxa"/>
          </w:tcPr>
          <w:p w14:paraId="55407309" w14:textId="387BBF1A" w:rsidR="00120B73" w:rsidRPr="00D27EA1" w:rsidRDefault="009A618A" w:rsidP="00663316">
            <w:pPr>
              <w:pStyle w:val="ListParagraph"/>
              <w:numPr>
                <w:ilvl w:val="0"/>
                <w:numId w:val="27"/>
              </w:numPr>
              <w:spacing w:after="120"/>
              <w:rPr>
                <w:sz w:val="20"/>
                <w:szCs w:val="20"/>
                <w:lang w:val="fr-FR"/>
              </w:rPr>
            </w:pPr>
            <w:r w:rsidRPr="00D27EA1">
              <w:rPr>
                <w:sz w:val="20"/>
                <w:szCs w:val="20"/>
                <w:lang w:val="fr-FR"/>
              </w:rPr>
              <w:t>Un cadre d’évaluation de la performance transparent et vérifiable est en place</w:t>
            </w:r>
          </w:p>
        </w:tc>
        <w:tc>
          <w:tcPr>
            <w:tcW w:w="3408" w:type="dxa"/>
          </w:tcPr>
          <w:p w14:paraId="248A15FC" w14:textId="114CD1B7" w:rsidR="00120B73" w:rsidRPr="00D27EA1" w:rsidRDefault="009A618A" w:rsidP="00663316">
            <w:pPr>
              <w:pStyle w:val="ListParagraph"/>
              <w:numPr>
                <w:ilvl w:val="0"/>
                <w:numId w:val="27"/>
              </w:numPr>
              <w:spacing w:after="120"/>
              <w:rPr>
                <w:sz w:val="20"/>
                <w:szCs w:val="20"/>
                <w:lang w:val="fr-FR"/>
              </w:rPr>
            </w:pPr>
            <w:r w:rsidRPr="00D27EA1">
              <w:rPr>
                <w:sz w:val="20"/>
                <w:szCs w:val="20"/>
                <w:lang w:val="fr-FR"/>
              </w:rPr>
              <w:t xml:space="preserve">Un cadre d’évaluation de la performance transparent et vérifiable est </w:t>
            </w:r>
            <w:r w:rsidR="00C5106B" w:rsidRPr="00D27EA1">
              <w:rPr>
                <w:sz w:val="20"/>
                <w:szCs w:val="20"/>
                <w:lang w:val="fr-FR"/>
              </w:rPr>
              <w:t>utilisé</w:t>
            </w:r>
          </w:p>
        </w:tc>
      </w:tr>
      <w:tr w:rsidR="00C5106B" w:rsidRPr="004545B0" w14:paraId="54664A1F" w14:textId="77777777" w:rsidTr="00D27EA1">
        <w:tc>
          <w:tcPr>
            <w:tcW w:w="2664" w:type="dxa"/>
          </w:tcPr>
          <w:p w14:paraId="4906782F" w14:textId="2BD5D852" w:rsidR="00120B73" w:rsidRPr="00D27EA1" w:rsidRDefault="00120B73" w:rsidP="00663316">
            <w:pPr>
              <w:pStyle w:val="ListParagraph"/>
              <w:numPr>
                <w:ilvl w:val="0"/>
                <w:numId w:val="27"/>
              </w:numPr>
              <w:spacing w:after="120"/>
              <w:rPr>
                <w:b/>
                <w:bCs/>
                <w:sz w:val="20"/>
                <w:szCs w:val="20"/>
                <w:lang w:val="fr-FR"/>
              </w:rPr>
            </w:pPr>
            <w:r w:rsidRPr="00D27EA1">
              <w:rPr>
                <w:b/>
                <w:bCs/>
                <w:sz w:val="20"/>
                <w:szCs w:val="20"/>
                <w:lang w:val="fr-FR"/>
              </w:rPr>
              <w:t xml:space="preserve">ENGAGEMENT </w:t>
            </w:r>
            <w:r w:rsidR="00FF744D" w:rsidRPr="00D27EA1">
              <w:rPr>
                <w:b/>
                <w:bCs/>
                <w:sz w:val="20"/>
                <w:szCs w:val="20"/>
                <w:lang w:val="fr-FR"/>
              </w:rPr>
              <w:t>DE LA SOCIÉTÉ CIVILE</w:t>
            </w:r>
          </w:p>
        </w:tc>
        <w:tc>
          <w:tcPr>
            <w:tcW w:w="3408" w:type="dxa"/>
          </w:tcPr>
          <w:p w14:paraId="183D8994" w14:textId="3174F972" w:rsidR="00120B73" w:rsidRPr="00D27EA1" w:rsidRDefault="00A26D9D" w:rsidP="00B0189C">
            <w:pPr>
              <w:pStyle w:val="ListParagraph"/>
              <w:numPr>
                <w:ilvl w:val="0"/>
                <w:numId w:val="27"/>
              </w:numPr>
              <w:spacing w:after="120"/>
              <w:rPr>
                <w:sz w:val="20"/>
                <w:szCs w:val="20"/>
                <w:lang w:val="fr-FR"/>
              </w:rPr>
            </w:pPr>
            <w:r w:rsidRPr="00D27EA1">
              <w:rPr>
                <w:sz w:val="20"/>
                <w:szCs w:val="20"/>
                <w:lang w:val="fr-FR"/>
              </w:rPr>
              <w:t xml:space="preserve">La société civile est représentée de façon significative dans les processus politiques </w:t>
            </w:r>
          </w:p>
        </w:tc>
        <w:tc>
          <w:tcPr>
            <w:tcW w:w="3408" w:type="dxa"/>
          </w:tcPr>
          <w:p w14:paraId="0BD3B8D4" w14:textId="3F2C0549" w:rsidR="00120B73" w:rsidRPr="00D27EA1" w:rsidRDefault="00A26D9D" w:rsidP="00DB62C7">
            <w:pPr>
              <w:pStyle w:val="ListParagraph"/>
              <w:numPr>
                <w:ilvl w:val="0"/>
                <w:numId w:val="27"/>
              </w:numPr>
              <w:spacing w:after="120"/>
              <w:ind w:left="357" w:hanging="357"/>
              <w:rPr>
                <w:sz w:val="20"/>
                <w:szCs w:val="20"/>
                <w:lang w:val="fr-FR"/>
              </w:rPr>
            </w:pPr>
            <w:r w:rsidRPr="00D27EA1">
              <w:rPr>
                <w:sz w:val="20"/>
                <w:szCs w:val="20"/>
                <w:lang w:val="fr-FR"/>
              </w:rPr>
              <w:t>La so</w:t>
            </w:r>
            <w:r w:rsidR="00FF744D" w:rsidRPr="00D27EA1">
              <w:rPr>
                <w:sz w:val="20"/>
                <w:szCs w:val="20"/>
                <w:lang w:val="fr-FR"/>
              </w:rPr>
              <w:t xml:space="preserve">ciété civile est soutenue afin </w:t>
            </w:r>
            <w:r w:rsidRPr="00D27EA1">
              <w:rPr>
                <w:sz w:val="20"/>
                <w:szCs w:val="20"/>
                <w:lang w:val="fr-FR"/>
              </w:rPr>
              <w:t xml:space="preserve">d’être représentée de façon significative </w:t>
            </w:r>
          </w:p>
        </w:tc>
      </w:tr>
      <w:tr w:rsidR="00C5106B" w:rsidRPr="00D27EA1" w14:paraId="4CE0CA9B" w14:textId="77777777" w:rsidTr="00D27EA1">
        <w:tc>
          <w:tcPr>
            <w:tcW w:w="2664" w:type="dxa"/>
          </w:tcPr>
          <w:p w14:paraId="73366E6F" w14:textId="127C872A" w:rsidR="00120B73" w:rsidRPr="00D27EA1" w:rsidRDefault="00FF744D" w:rsidP="0094401C">
            <w:pPr>
              <w:pStyle w:val="ListParagraph"/>
              <w:keepNext/>
              <w:keepLines/>
              <w:numPr>
                <w:ilvl w:val="0"/>
                <w:numId w:val="27"/>
              </w:numPr>
              <w:spacing w:before="200" w:after="120" w:line="276" w:lineRule="auto"/>
              <w:outlineLvl w:val="3"/>
              <w:rPr>
                <w:b/>
                <w:bCs/>
                <w:sz w:val="20"/>
                <w:szCs w:val="20"/>
                <w:lang w:val="fr-FR"/>
              </w:rPr>
            </w:pPr>
            <w:r w:rsidRPr="00D27EA1">
              <w:rPr>
                <w:b/>
                <w:bCs/>
                <w:sz w:val="20"/>
                <w:szCs w:val="20"/>
                <w:lang w:val="fr-FR"/>
              </w:rPr>
              <w:t>PRÉDICTIBILITÉ</w:t>
            </w:r>
          </w:p>
        </w:tc>
        <w:tc>
          <w:tcPr>
            <w:tcW w:w="3408" w:type="dxa"/>
          </w:tcPr>
          <w:p w14:paraId="0A379D1A" w14:textId="79698634" w:rsidR="00120B73" w:rsidRPr="00D27EA1" w:rsidRDefault="00120B73" w:rsidP="00B0189C">
            <w:pPr>
              <w:pStyle w:val="ListParagraph"/>
              <w:numPr>
                <w:ilvl w:val="0"/>
                <w:numId w:val="27"/>
              </w:numPr>
              <w:spacing w:after="120"/>
              <w:rPr>
                <w:sz w:val="20"/>
                <w:szCs w:val="20"/>
                <w:lang w:val="fr-FR"/>
              </w:rPr>
            </w:pPr>
            <w:r w:rsidRPr="00D27EA1">
              <w:rPr>
                <w:sz w:val="20"/>
                <w:szCs w:val="20"/>
                <w:lang w:val="fr-FR"/>
              </w:rPr>
              <w:t xml:space="preserve">% </w:t>
            </w:r>
            <w:r w:rsidR="00FF744D" w:rsidRPr="00D27EA1">
              <w:rPr>
                <w:sz w:val="20"/>
                <w:szCs w:val="20"/>
                <w:lang w:val="fr-FR"/>
              </w:rPr>
              <w:t xml:space="preserve">des fonds dédiés au secteur de la santé décaissés </w:t>
            </w:r>
            <w:r w:rsidR="00C5106B" w:rsidRPr="00D27EA1">
              <w:rPr>
                <w:sz w:val="20"/>
                <w:szCs w:val="20"/>
                <w:lang w:val="fr-FR"/>
              </w:rPr>
              <w:t>par rapport au</w:t>
            </w:r>
            <w:r w:rsidR="00FF744D" w:rsidRPr="00D27EA1">
              <w:rPr>
                <w:sz w:val="20"/>
                <w:szCs w:val="20"/>
                <w:lang w:val="fr-FR"/>
              </w:rPr>
              <w:t xml:space="preserve"> budget national approuvé</w:t>
            </w:r>
            <w:r w:rsidR="00D27EA1">
              <w:rPr>
                <w:sz w:val="20"/>
                <w:szCs w:val="20"/>
                <w:lang w:val="fr-FR"/>
              </w:rPr>
              <w:t xml:space="preserve"> </w:t>
            </w:r>
          </w:p>
        </w:tc>
        <w:tc>
          <w:tcPr>
            <w:tcW w:w="3408" w:type="dxa"/>
          </w:tcPr>
          <w:p w14:paraId="12929CD4" w14:textId="29094596" w:rsidR="00120B73" w:rsidRPr="00D27EA1" w:rsidRDefault="00FF744D" w:rsidP="00DB62C7">
            <w:pPr>
              <w:pStyle w:val="ListParagraph"/>
              <w:keepNext/>
              <w:keepLines/>
              <w:numPr>
                <w:ilvl w:val="0"/>
                <w:numId w:val="27"/>
              </w:numPr>
              <w:spacing w:before="200" w:after="120"/>
              <w:ind w:left="357" w:hanging="357"/>
              <w:outlineLvl w:val="3"/>
              <w:rPr>
                <w:sz w:val="20"/>
                <w:szCs w:val="20"/>
                <w:lang w:val="fr-FR"/>
              </w:rPr>
            </w:pPr>
            <w:r w:rsidRPr="00D27EA1">
              <w:rPr>
                <w:sz w:val="20"/>
                <w:szCs w:val="20"/>
                <w:lang w:val="fr-FR"/>
              </w:rPr>
              <w:t>Décaissement selon le calendrier prévu</w:t>
            </w:r>
          </w:p>
          <w:p w14:paraId="1D973534" w14:textId="63BF5140" w:rsidR="00120B73" w:rsidRPr="00D27EA1" w:rsidRDefault="00FF744D" w:rsidP="00120B73">
            <w:pPr>
              <w:pStyle w:val="ListParagraph"/>
              <w:keepNext/>
              <w:keepLines/>
              <w:numPr>
                <w:ilvl w:val="0"/>
                <w:numId w:val="27"/>
              </w:numPr>
              <w:spacing w:before="200" w:after="120" w:line="276" w:lineRule="auto"/>
              <w:outlineLvl w:val="3"/>
              <w:rPr>
                <w:sz w:val="20"/>
                <w:szCs w:val="20"/>
                <w:lang w:val="fr-FR"/>
              </w:rPr>
            </w:pPr>
            <w:r w:rsidRPr="00D27EA1">
              <w:rPr>
                <w:sz w:val="20"/>
                <w:szCs w:val="20"/>
                <w:lang w:val="fr-FR"/>
              </w:rPr>
              <w:t>Engagements pluriannuels</w:t>
            </w:r>
          </w:p>
        </w:tc>
      </w:tr>
      <w:tr w:rsidR="00C5106B" w:rsidRPr="004545B0" w14:paraId="1DCD8DCB" w14:textId="77777777" w:rsidTr="00D27EA1">
        <w:tc>
          <w:tcPr>
            <w:tcW w:w="2664" w:type="dxa"/>
          </w:tcPr>
          <w:p w14:paraId="66C9776B" w14:textId="469F02EA" w:rsidR="00120B73" w:rsidRPr="00D27EA1" w:rsidRDefault="00FF744D" w:rsidP="0094401C">
            <w:pPr>
              <w:pStyle w:val="ListParagraph"/>
              <w:keepNext/>
              <w:keepLines/>
              <w:numPr>
                <w:ilvl w:val="0"/>
                <w:numId w:val="27"/>
              </w:numPr>
              <w:spacing w:before="200" w:after="120" w:line="276" w:lineRule="auto"/>
              <w:outlineLvl w:val="3"/>
              <w:rPr>
                <w:b/>
                <w:bCs/>
                <w:sz w:val="20"/>
                <w:szCs w:val="20"/>
                <w:lang w:val="fr-FR"/>
              </w:rPr>
            </w:pPr>
            <w:r w:rsidRPr="00D27EA1">
              <w:rPr>
                <w:b/>
                <w:bCs/>
                <w:sz w:val="20"/>
                <w:szCs w:val="20"/>
                <w:lang w:val="fr-FR"/>
              </w:rPr>
              <w:t>AIDE</w:t>
            </w:r>
            <w:r w:rsidRPr="00D27EA1">
              <w:rPr>
                <w:rFonts w:ascii="Times New Roman" w:hAnsi="Times New Roman"/>
                <w:lang w:val="fr-FR"/>
              </w:rPr>
              <w:t xml:space="preserve"> </w:t>
            </w:r>
            <w:r w:rsidRPr="00D27EA1">
              <w:rPr>
                <w:b/>
                <w:bCs/>
                <w:sz w:val="20"/>
                <w:szCs w:val="20"/>
                <w:lang w:val="fr-FR"/>
              </w:rPr>
              <w:t>RAPPORTÉE DANS LE BUDGET</w:t>
            </w:r>
          </w:p>
        </w:tc>
        <w:tc>
          <w:tcPr>
            <w:tcW w:w="3408" w:type="dxa"/>
          </w:tcPr>
          <w:p w14:paraId="59F73F47" w14:textId="6DAF25C4" w:rsidR="00120B73" w:rsidRPr="00D27EA1" w:rsidRDefault="00C5106B" w:rsidP="00663316">
            <w:pPr>
              <w:pStyle w:val="ListParagraph"/>
              <w:numPr>
                <w:ilvl w:val="0"/>
                <w:numId w:val="27"/>
              </w:numPr>
              <w:spacing w:after="120"/>
              <w:rPr>
                <w:sz w:val="20"/>
                <w:szCs w:val="20"/>
                <w:lang w:val="fr-FR"/>
              </w:rPr>
            </w:pPr>
            <w:r w:rsidRPr="00D27EA1">
              <w:rPr>
                <w:sz w:val="20"/>
                <w:szCs w:val="20"/>
                <w:lang w:val="fr-FR"/>
              </w:rPr>
              <w:t xml:space="preserve">Un plan national pour le secteur de la santé avec un budget réaliste est en place </w:t>
            </w:r>
          </w:p>
        </w:tc>
        <w:tc>
          <w:tcPr>
            <w:tcW w:w="3408" w:type="dxa"/>
          </w:tcPr>
          <w:p w14:paraId="7D4366D9" w14:textId="604E6190" w:rsidR="00120B73" w:rsidRPr="00D27EA1" w:rsidRDefault="00120B73" w:rsidP="00B0189C">
            <w:pPr>
              <w:pStyle w:val="ListParagraph"/>
              <w:numPr>
                <w:ilvl w:val="0"/>
                <w:numId w:val="27"/>
              </w:numPr>
              <w:spacing w:after="120"/>
              <w:rPr>
                <w:sz w:val="20"/>
                <w:szCs w:val="20"/>
                <w:lang w:val="fr-FR"/>
              </w:rPr>
            </w:pPr>
            <w:r w:rsidRPr="00D27EA1">
              <w:rPr>
                <w:sz w:val="20"/>
                <w:szCs w:val="20"/>
                <w:lang w:val="fr-FR"/>
              </w:rPr>
              <w:t xml:space="preserve">% </w:t>
            </w:r>
            <w:r w:rsidR="00C5106B" w:rsidRPr="00D27EA1">
              <w:rPr>
                <w:sz w:val="20"/>
                <w:szCs w:val="20"/>
                <w:lang w:val="fr-FR"/>
              </w:rPr>
              <w:t xml:space="preserve">de l’aide rapportée dans le budget national pour le secteur de la santé </w:t>
            </w:r>
          </w:p>
        </w:tc>
      </w:tr>
      <w:tr w:rsidR="00C5106B" w:rsidRPr="004545B0" w14:paraId="1C43646C" w14:textId="77777777" w:rsidTr="00D27EA1">
        <w:tc>
          <w:tcPr>
            <w:tcW w:w="2664" w:type="dxa"/>
          </w:tcPr>
          <w:p w14:paraId="71C55B11" w14:textId="07C558CB" w:rsidR="00120B73" w:rsidRPr="00D27EA1" w:rsidRDefault="00FF744D" w:rsidP="0094401C">
            <w:pPr>
              <w:pStyle w:val="ListParagraph"/>
              <w:keepNext/>
              <w:keepLines/>
              <w:numPr>
                <w:ilvl w:val="0"/>
                <w:numId w:val="27"/>
              </w:numPr>
              <w:spacing w:before="200" w:after="120" w:line="276" w:lineRule="auto"/>
              <w:outlineLvl w:val="3"/>
              <w:rPr>
                <w:b/>
                <w:bCs/>
                <w:sz w:val="20"/>
                <w:szCs w:val="20"/>
                <w:lang w:val="fr-FR"/>
              </w:rPr>
            </w:pPr>
            <w:r w:rsidRPr="00D27EA1">
              <w:rPr>
                <w:b/>
                <w:bCs/>
                <w:sz w:val="20"/>
                <w:szCs w:val="20"/>
                <w:lang w:val="fr-FR"/>
              </w:rPr>
              <w:t>ÉVALUATIONS MUTUELLES DES ENGAGEMENTS</w:t>
            </w:r>
          </w:p>
        </w:tc>
        <w:tc>
          <w:tcPr>
            <w:tcW w:w="3408" w:type="dxa"/>
          </w:tcPr>
          <w:p w14:paraId="3B438F77" w14:textId="7E0CE28C" w:rsidR="00120B73" w:rsidRPr="00D27EA1" w:rsidRDefault="00C5106B" w:rsidP="00663316">
            <w:pPr>
              <w:pStyle w:val="ListParagraph"/>
              <w:numPr>
                <w:ilvl w:val="0"/>
                <w:numId w:val="27"/>
              </w:numPr>
              <w:spacing w:after="120"/>
              <w:rPr>
                <w:sz w:val="20"/>
                <w:szCs w:val="20"/>
                <w:lang w:val="fr-FR"/>
              </w:rPr>
            </w:pPr>
            <w:r w:rsidRPr="00D27EA1">
              <w:rPr>
                <w:sz w:val="20"/>
                <w:szCs w:val="20"/>
                <w:lang w:val="fr-FR"/>
              </w:rPr>
              <w:t>Des évaluations mutuelles des engagements (y compris en ce qui concerne l’efficacité de l’aide) sont menées</w:t>
            </w:r>
            <w:r w:rsidR="00D27EA1">
              <w:rPr>
                <w:sz w:val="20"/>
                <w:szCs w:val="20"/>
                <w:lang w:val="fr-FR"/>
              </w:rPr>
              <w:t xml:space="preserve"> </w:t>
            </w:r>
          </w:p>
        </w:tc>
        <w:tc>
          <w:tcPr>
            <w:tcW w:w="3408" w:type="dxa"/>
          </w:tcPr>
          <w:p w14:paraId="29E39E79" w14:textId="0C8A04B6" w:rsidR="00120B73" w:rsidRPr="00D27EA1" w:rsidRDefault="00C5106B" w:rsidP="00663316">
            <w:pPr>
              <w:pStyle w:val="ListParagraph"/>
              <w:numPr>
                <w:ilvl w:val="0"/>
                <w:numId w:val="27"/>
              </w:numPr>
              <w:spacing w:after="120"/>
              <w:rPr>
                <w:sz w:val="20"/>
                <w:szCs w:val="20"/>
                <w:lang w:val="fr-FR"/>
              </w:rPr>
            </w:pPr>
            <w:r w:rsidRPr="00D27EA1">
              <w:rPr>
                <w:sz w:val="20"/>
                <w:szCs w:val="20"/>
                <w:lang w:val="fr-FR"/>
              </w:rPr>
              <w:t xml:space="preserve">La participation dans les évaluations mutuelles des engagements </w:t>
            </w:r>
          </w:p>
        </w:tc>
      </w:tr>
      <w:tr w:rsidR="00C5106B" w:rsidRPr="004545B0" w14:paraId="2E327497" w14:textId="77777777" w:rsidTr="00D27EA1">
        <w:tc>
          <w:tcPr>
            <w:tcW w:w="2664" w:type="dxa"/>
          </w:tcPr>
          <w:p w14:paraId="60703C41" w14:textId="47947DA1" w:rsidR="00120B73" w:rsidRPr="00D27EA1" w:rsidRDefault="00FF744D" w:rsidP="00645B93">
            <w:pPr>
              <w:pStyle w:val="ListParagraph"/>
              <w:numPr>
                <w:ilvl w:val="0"/>
                <w:numId w:val="27"/>
              </w:numPr>
              <w:spacing w:after="120"/>
              <w:rPr>
                <w:b/>
                <w:bCs/>
                <w:sz w:val="20"/>
                <w:szCs w:val="20"/>
                <w:lang w:val="fr-FR"/>
              </w:rPr>
            </w:pPr>
            <w:r w:rsidRPr="00D27EA1">
              <w:rPr>
                <w:b/>
                <w:bCs/>
                <w:sz w:val="20"/>
                <w:szCs w:val="20"/>
                <w:lang w:val="fr-FR"/>
              </w:rPr>
              <w:t xml:space="preserve">UTILISATION DES SYSTÈMES NATIONAUX DE </w:t>
            </w:r>
            <w:r w:rsidR="009418F1" w:rsidRPr="00D27EA1">
              <w:rPr>
                <w:b/>
                <w:bCs/>
                <w:sz w:val="20"/>
                <w:szCs w:val="20"/>
                <w:lang w:val="fr-FR"/>
              </w:rPr>
              <w:t>PASSATION DE MARCHÉS</w:t>
            </w:r>
            <w:r w:rsidRPr="00D27EA1">
              <w:rPr>
                <w:b/>
                <w:bCs/>
                <w:sz w:val="20"/>
                <w:szCs w:val="20"/>
                <w:lang w:val="fr-FR"/>
              </w:rPr>
              <w:t xml:space="preserve">* ET </w:t>
            </w:r>
            <w:r w:rsidR="00664B9F" w:rsidRPr="00D27EA1">
              <w:rPr>
                <w:b/>
                <w:bCs/>
                <w:sz w:val="20"/>
                <w:szCs w:val="20"/>
                <w:lang w:val="fr-FR"/>
              </w:rPr>
              <w:t xml:space="preserve">DE </w:t>
            </w:r>
            <w:r w:rsidR="00C5106B" w:rsidRPr="00D27EA1">
              <w:rPr>
                <w:b/>
                <w:bCs/>
                <w:sz w:val="20"/>
                <w:szCs w:val="20"/>
                <w:lang w:val="fr-FR"/>
              </w:rPr>
              <w:t>GESTION DES</w:t>
            </w:r>
            <w:r w:rsidRPr="00D27EA1">
              <w:rPr>
                <w:b/>
                <w:bCs/>
                <w:sz w:val="20"/>
                <w:szCs w:val="20"/>
                <w:lang w:val="fr-FR"/>
              </w:rPr>
              <w:t xml:space="preserve"> FINANCES PUBLIQUES </w:t>
            </w:r>
          </w:p>
        </w:tc>
        <w:tc>
          <w:tcPr>
            <w:tcW w:w="3408" w:type="dxa"/>
          </w:tcPr>
          <w:p w14:paraId="2F593B7D" w14:textId="77777777" w:rsidR="007440F8" w:rsidRDefault="007440F8" w:rsidP="00DB62C7">
            <w:pPr>
              <w:pStyle w:val="ListParagraph"/>
              <w:numPr>
                <w:ilvl w:val="0"/>
                <w:numId w:val="27"/>
              </w:numPr>
              <w:spacing w:after="120"/>
              <w:rPr>
                <w:sz w:val="20"/>
                <w:szCs w:val="20"/>
                <w:lang w:val="fr-FR"/>
              </w:rPr>
            </w:pPr>
            <w:r>
              <w:rPr>
                <w:sz w:val="20"/>
                <w:szCs w:val="20"/>
                <w:lang w:val="fr-FR"/>
              </w:rPr>
              <w:t>Les systèmes</w:t>
            </w:r>
            <w:r w:rsidRPr="00D27EA1">
              <w:rPr>
                <w:sz w:val="20"/>
                <w:szCs w:val="20"/>
                <w:lang w:val="fr-FR"/>
              </w:rPr>
              <w:t xml:space="preserve"> </w:t>
            </w:r>
            <w:r>
              <w:rPr>
                <w:sz w:val="20"/>
                <w:szCs w:val="20"/>
                <w:lang w:val="fr-FR"/>
              </w:rPr>
              <w:t xml:space="preserve">nationaux </w:t>
            </w:r>
            <w:r w:rsidRPr="00D27EA1">
              <w:rPr>
                <w:sz w:val="20"/>
                <w:szCs w:val="20"/>
                <w:lang w:val="fr-FR"/>
              </w:rPr>
              <w:t xml:space="preserve">de gestion des finances publiques </w:t>
            </w:r>
            <w:r>
              <w:rPr>
                <w:sz w:val="20"/>
                <w:szCs w:val="20"/>
                <w:lang w:val="fr-FR"/>
              </w:rPr>
              <w:t>adhèrent à des « bonnes pratiques »</w:t>
            </w:r>
            <w:r w:rsidRPr="00D27EA1">
              <w:rPr>
                <w:sz w:val="20"/>
                <w:szCs w:val="20"/>
                <w:lang w:val="fr-FR"/>
              </w:rPr>
              <w:t xml:space="preserve"> </w:t>
            </w:r>
            <w:r>
              <w:rPr>
                <w:sz w:val="20"/>
                <w:szCs w:val="20"/>
                <w:lang w:val="fr-FR"/>
              </w:rPr>
              <w:t xml:space="preserve">ou ont un programme de réforme pour les atteindre </w:t>
            </w:r>
          </w:p>
          <w:p w14:paraId="621C6F5C" w14:textId="50DD4E1E" w:rsidR="00645B93" w:rsidRDefault="00C5106B" w:rsidP="007440F8">
            <w:pPr>
              <w:pStyle w:val="ListParagraph"/>
              <w:numPr>
                <w:ilvl w:val="0"/>
                <w:numId w:val="27"/>
              </w:numPr>
              <w:spacing w:after="120"/>
              <w:rPr>
                <w:sz w:val="20"/>
                <w:szCs w:val="20"/>
                <w:lang w:val="fr-FR"/>
              </w:rPr>
            </w:pPr>
            <w:r w:rsidRPr="00D27EA1">
              <w:rPr>
                <w:sz w:val="20"/>
                <w:szCs w:val="20"/>
                <w:lang w:val="fr-FR"/>
              </w:rPr>
              <w:t xml:space="preserve">Les systèmes nationaux de </w:t>
            </w:r>
            <w:r w:rsidR="009418F1" w:rsidRPr="00D27EA1">
              <w:rPr>
                <w:sz w:val="20"/>
                <w:szCs w:val="20"/>
                <w:lang w:val="fr-FR"/>
              </w:rPr>
              <w:t>passation de marchés</w:t>
            </w:r>
            <w:r w:rsidRPr="00D27EA1">
              <w:rPr>
                <w:sz w:val="20"/>
                <w:szCs w:val="20"/>
                <w:lang w:val="fr-FR"/>
              </w:rPr>
              <w:t xml:space="preserve"> </w:t>
            </w:r>
            <w:r w:rsidR="00645B93">
              <w:rPr>
                <w:sz w:val="20"/>
                <w:szCs w:val="20"/>
                <w:lang w:val="fr-FR"/>
              </w:rPr>
              <w:t>adhèrent à des « bonnes pratiques »</w:t>
            </w:r>
            <w:r w:rsidR="00645B93" w:rsidRPr="00D27EA1">
              <w:rPr>
                <w:sz w:val="20"/>
                <w:szCs w:val="20"/>
                <w:lang w:val="fr-FR"/>
              </w:rPr>
              <w:t xml:space="preserve"> </w:t>
            </w:r>
            <w:r w:rsidR="00645B93">
              <w:rPr>
                <w:sz w:val="20"/>
                <w:szCs w:val="20"/>
                <w:lang w:val="fr-FR"/>
              </w:rPr>
              <w:t>ou ont un programme de réforme pour les atteindre</w:t>
            </w:r>
          </w:p>
          <w:p w14:paraId="4CC46C38" w14:textId="29B5C455" w:rsidR="00A9333F" w:rsidRPr="007440F8" w:rsidRDefault="00A9333F" w:rsidP="007440F8">
            <w:pPr>
              <w:spacing w:after="120"/>
              <w:rPr>
                <w:sz w:val="20"/>
                <w:szCs w:val="20"/>
                <w:lang w:val="fr-FR"/>
              </w:rPr>
            </w:pPr>
          </w:p>
        </w:tc>
        <w:tc>
          <w:tcPr>
            <w:tcW w:w="3408" w:type="dxa"/>
          </w:tcPr>
          <w:p w14:paraId="26787BAF" w14:textId="14D9371B" w:rsidR="00A9333F" w:rsidRPr="00D27EA1" w:rsidRDefault="00A9333F" w:rsidP="00DB62C7">
            <w:pPr>
              <w:pStyle w:val="ListParagraph"/>
              <w:numPr>
                <w:ilvl w:val="0"/>
                <w:numId w:val="27"/>
              </w:numPr>
              <w:spacing w:after="120"/>
              <w:rPr>
                <w:sz w:val="20"/>
                <w:szCs w:val="20"/>
                <w:lang w:val="fr-FR"/>
              </w:rPr>
            </w:pPr>
            <w:r w:rsidRPr="00D27EA1">
              <w:rPr>
                <w:sz w:val="20"/>
                <w:szCs w:val="20"/>
                <w:lang w:val="fr-FR"/>
              </w:rPr>
              <w:t xml:space="preserve">% </w:t>
            </w:r>
            <w:r w:rsidR="00C5106B" w:rsidRPr="00D27EA1">
              <w:rPr>
                <w:sz w:val="20"/>
                <w:szCs w:val="20"/>
                <w:lang w:val="fr-FR"/>
              </w:rPr>
              <w:t xml:space="preserve">de l’aide utilisant des systèmes de gestion des finances publiques </w:t>
            </w:r>
            <w:r w:rsidR="00645B93">
              <w:rPr>
                <w:sz w:val="20"/>
                <w:szCs w:val="20"/>
                <w:lang w:val="fr-FR"/>
              </w:rPr>
              <w:t>adhérant aux « bonnes pratiques »</w:t>
            </w:r>
          </w:p>
          <w:p w14:paraId="772DAC28" w14:textId="6DBF4BDF" w:rsidR="00120B73" w:rsidRPr="00D27EA1" w:rsidRDefault="00A9333F" w:rsidP="007440F8">
            <w:pPr>
              <w:pStyle w:val="ListParagraph"/>
              <w:numPr>
                <w:ilvl w:val="0"/>
                <w:numId w:val="27"/>
              </w:numPr>
              <w:spacing w:after="120"/>
              <w:rPr>
                <w:sz w:val="20"/>
                <w:szCs w:val="20"/>
                <w:lang w:val="fr-FR"/>
              </w:rPr>
            </w:pPr>
            <w:r w:rsidRPr="00D27EA1">
              <w:rPr>
                <w:sz w:val="20"/>
                <w:szCs w:val="20"/>
                <w:lang w:val="fr-FR"/>
              </w:rPr>
              <w:t xml:space="preserve">% </w:t>
            </w:r>
            <w:r w:rsidR="00C5106B" w:rsidRPr="00D27EA1">
              <w:rPr>
                <w:sz w:val="20"/>
                <w:szCs w:val="20"/>
                <w:lang w:val="fr-FR"/>
              </w:rPr>
              <w:t xml:space="preserve">de l’aide utilisant des systèmes de </w:t>
            </w:r>
            <w:r w:rsidR="009418F1" w:rsidRPr="00D27EA1">
              <w:rPr>
                <w:sz w:val="20"/>
                <w:szCs w:val="20"/>
                <w:lang w:val="fr-FR"/>
              </w:rPr>
              <w:t>passation de marchés</w:t>
            </w:r>
            <w:r w:rsidR="00C5106B" w:rsidRPr="00D27EA1">
              <w:rPr>
                <w:sz w:val="20"/>
                <w:szCs w:val="20"/>
                <w:lang w:val="fr-FR"/>
              </w:rPr>
              <w:t xml:space="preserve"> </w:t>
            </w:r>
            <w:r w:rsidR="00645B93">
              <w:rPr>
                <w:sz w:val="20"/>
                <w:szCs w:val="20"/>
                <w:lang w:val="fr-FR"/>
              </w:rPr>
              <w:t xml:space="preserve">adhérant aux « bonnes pratiques ». </w:t>
            </w:r>
          </w:p>
        </w:tc>
      </w:tr>
    </w:tbl>
    <w:p w14:paraId="4CD3CC9D" w14:textId="5ECEA844" w:rsidR="008C1A1B" w:rsidRPr="00D27EA1" w:rsidRDefault="008C1A1B">
      <w:pPr>
        <w:spacing w:line="240" w:lineRule="exact"/>
        <w:ind w:left="357"/>
        <w:rPr>
          <w:i/>
          <w:sz w:val="18"/>
          <w:szCs w:val="18"/>
          <w:lang w:val="fr-FR"/>
        </w:rPr>
      </w:pPr>
      <w:r w:rsidRPr="00D27EA1">
        <w:rPr>
          <w:i/>
          <w:sz w:val="18"/>
          <w:szCs w:val="18"/>
          <w:lang w:val="fr-FR"/>
        </w:rPr>
        <w:t xml:space="preserve">* La terminologie utilisée ici suit les propositions actuelles dans le cadre </w:t>
      </w:r>
      <w:r w:rsidR="004F6E84" w:rsidRPr="00D27EA1">
        <w:rPr>
          <w:i/>
          <w:sz w:val="18"/>
          <w:szCs w:val="18"/>
          <w:lang w:val="fr-FR"/>
        </w:rPr>
        <w:t>de l’après-</w:t>
      </w:r>
      <w:r w:rsidR="00740AF5" w:rsidRPr="00D27EA1">
        <w:rPr>
          <w:i/>
          <w:sz w:val="18"/>
          <w:szCs w:val="18"/>
          <w:lang w:val="fr-FR"/>
        </w:rPr>
        <w:t xml:space="preserve">Accord de partenariat de Busan. L’indicateur utilisé pour mesurer l’utilisation des systèmes de </w:t>
      </w:r>
      <w:r w:rsidR="004F6E84" w:rsidRPr="00D27EA1">
        <w:rPr>
          <w:i/>
          <w:sz w:val="18"/>
          <w:szCs w:val="18"/>
          <w:lang w:val="fr-FR"/>
        </w:rPr>
        <w:t>passation de marchés</w:t>
      </w:r>
      <w:r w:rsidR="00740AF5" w:rsidRPr="00D27EA1">
        <w:rPr>
          <w:i/>
          <w:sz w:val="18"/>
          <w:szCs w:val="18"/>
          <w:lang w:val="fr-FR"/>
        </w:rPr>
        <w:t xml:space="preserve"> s’est avéré problématique dans les exercices menés par </w:t>
      </w:r>
      <w:proofErr w:type="spellStart"/>
      <w:r w:rsidR="00740AF5" w:rsidRPr="00D27EA1">
        <w:rPr>
          <w:i/>
          <w:sz w:val="18"/>
          <w:szCs w:val="18"/>
          <w:lang w:val="fr-FR"/>
        </w:rPr>
        <w:t>IHP+Results</w:t>
      </w:r>
      <w:proofErr w:type="spellEnd"/>
      <w:r w:rsidR="00740AF5" w:rsidRPr="00D27EA1">
        <w:rPr>
          <w:i/>
          <w:sz w:val="18"/>
          <w:szCs w:val="18"/>
          <w:lang w:val="fr-FR"/>
        </w:rPr>
        <w:t xml:space="preserve">, mais la question est </w:t>
      </w:r>
      <w:r w:rsidR="006261DB" w:rsidRPr="00D27EA1">
        <w:rPr>
          <w:i/>
          <w:sz w:val="18"/>
          <w:szCs w:val="18"/>
          <w:lang w:val="fr-FR"/>
        </w:rPr>
        <w:t>conservée ici car elle semble être importante pour les pays.</w:t>
      </w:r>
    </w:p>
    <w:p w14:paraId="77B1DD90" w14:textId="17F1D765" w:rsidR="0035034F" w:rsidRPr="00D27EA1" w:rsidRDefault="00AD6389" w:rsidP="00D27EA1">
      <w:pPr>
        <w:keepNext/>
        <w:shd w:val="clear" w:color="auto" w:fill="F2F2F2" w:themeFill="background1" w:themeFillShade="F2"/>
        <w:spacing w:after="120"/>
        <w:rPr>
          <w:b/>
          <w:bCs/>
          <w:lang w:val="fr-FR"/>
        </w:rPr>
      </w:pPr>
      <w:r w:rsidRPr="00D27EA1">
        <w:rPr>
          <w:b/>
          <w:bCs/>
          <w:lang w:val="fr-FR"/>
        </w:rPr>
        <w:lastRenderedPageBreak/>
        <w:t>Question 3b</w:t>
      </w:r>
      <w:r w:rsidR="0035034F" w:rsidRPr="00D27EA1">
        <w:rPr>
          <w:b/>
          <w:bCs/>
          <w:lang w:val="fr-FR"/>
        </w:rPr>
        <w:t> :</w:t>
      </w:r>
      <w:r w:rsidR="00D27EA1">
        <w:rPr>
          <w:b/>
          <w:bCs/>
          <w:lang w:val="fr-FR"/>
        </w:rPr>
        <w:t xml:space="preserve"> </w:t>
      </w:r>
      <w:r w:rsidR="0035034F" w:rsidRPr="00D27EA1">
        <w:rPr>
          <w:b/>
          <w:bCs/>
          <w:lang w:val="fr-FR"/>
        </w:rPr>
        <w:t xml:space="preserve">Y a t-il une question essentielle qui n’a pas été mentionnée ? Si c’est le cas, cette question dispose-t-elle d’un indicateur mesurable et convenu afin d’en suivre la progression ? </w:t>
      </w:r>
    </w:p>
    <w:p w14:paraId="0002A62A" w14:textId="751BBFA5" w:rsidR="00D66B76" w:rsidRPr="00D27EA1" w:rsidRDefault="0035034F" w:rsidP="00182E95">
      <w:pPr>
        <w:rPr>
          <w:b/>
          <w:bCs/>
          <w:lang w:val="fr-FR"/>
        </w:rPr>
      </w:pPr>
      <w:r w:rsidRPr="00D27EA1">
        <w:rPr>
          <w:noProof/>
        </w:rPr>
        <mc:AlternateContent>
          <mc:Choice Requires="wps">
            <w:drawing>
              <wp:inline distT="0" distB="0" distL="0" distR="0" wp14:anchorId="7A1455BD" wp14:editId="792A3ECD">
                <wp:extent cx="5848350" cy="1301115"/>
                <wp:effectExtent l="0" t="0" r="19050" b="19685"/>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0111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E538D3" w14:textId="77777777" w:rsidR="00A43962" w:rsidRPr="00E15AF7" w:rsidRDefault="00A43962" w:rsidP="0035034F">
                            <w:pPr>
                              <w:rPr>
                                <w:i/>
                                <w:lang w:val="fr-FR"/>
                              </w:rPr>
                            </w:pPr>
                            <w:r w:rsidRPr="00E15AF7">
                              <w:rPr>
                                <w:i/>
                                <w:lang w:val="fr-FR"/>
                              </w:rPr>
                              <w:t xml:space="preserve">Veuillez </w:t>
                            </w:r>
                            <w:r>
                              <w:rPr>
                                <w:i/>
                                <w:lang w:val="fr-FR"/>
                              </w:rPr>
                              <w:t>insérer</w:t>
                            </w:r>
                            <w:r w:rsidRPr="00E15AF7">
                              <w:rPr>
                                <w:i/>
                                <w:lang w:val="fr-FR"/>
                              </w:rPr>
                              <w:t xml:space="preserve"> ici vos commentaires et suggestions :</w:t>
                            </w:r>
                          </w:p>
                          <w:p w14:paraId="0FE66636" w14:textId="77777777" w:rsidR="00A43962" w:rsidRPr="00144059" w:rsidRDefault="00A43962" w:rsidP="0035034F">
                            <w:pPr>
                              <w:rPr>
                                <w:i/>
                              </w:rPr>
                            </w:pPr>
                            <w:r>
                              <w:rPr>
                                <w:i/>
                              </w:rPr>
                              <w:t>……………………………………………………………………………………………………………………………………………………………..…………………………………………………………………………………………………………………………………………………………………………………………………………………………………………………………………………………………………………………………………………………………………………………………………………………………………………………………………………</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id="_x0000_s1028" type="#_x0000_t202" style="width:460.5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">
                <v:textbox>
                  <w:txbxContent>
                    <w:p w14:paraId="19E538D3" w14:textId="77777777" w:rsidR="00A43962" w:rsidRPr="00E15AF7" w:rsidRDefault="00A43962" w:rsidP="0035034F">
                      <w:pPr>
                        <w:rPr>
                          <w:i/>
                          <w:lang w:val="fr-FR"/>
                        </w:rPr>
                      </w:pPr>
                      <w:r w:rsidRPr="00E15AF7">
                        <w:rPr>
                          <w:i/>
                          <w:lang w:val="fr-FR"/>
                        </w:rPr>
                        <w:t xml:space="preserve">Veuillez </w:t>
                      </w:r>
                      <w:r>
                        <w:rPr>
                          <w:i/>
                          <w:lang w:val="fr-FR"/>
                        </w:rPr>
                        <w:t>insérer</w:t>
                      </w:r>
                      <w:r w:rsidRPr="00E15AF7">
                        <w:rPr>
                          <w:i/>
                          <w:lang w:val="fr-FR"/>
                        </w:rPr>
                        <w:t xml:space="preserve"> ici vos commentaires et suggestions :</w:t>
                      </w:r>
                    </w:p>
                    <w:p w14:paraId="0FE66636" w14:textId="77777777" w:rsidR="00A43962" w:rsidRPr="00144059" w:rsidRDefault="00A43962" w:rsidP="0035034F">
                      <w:pPr>
                        <w:rPr>
                          <w:i/>
                        </w:rPr>
                      </w:pPr>
                      <w:r>
                        <w:rPr>
                          <w:i/>
                        </w:rPr>
                        <w:t>……………………………………………………………………………………………………………………………………………………………..…………………………………………………………………………………………………………………………………………………………………………………………………………………………………………………………………………………………………………………………………………………………………………………………………………………………………………………………………………</w:t>
                      </w:r>
                    </w:p>
                  </w:txbxContent>
                </v:textbox>
                <w10:anchorlock/>
              </v:shape>
            </w:pict>
          </mc:Fallback>
        </mc:AlternateContent>
      </w:r>
    </w:p>
    <w:p w14:paraId="09C1A93C" w14:textId="391A1517" w:rsidR="0035034F" w:rsidRPr="00D27EA1" w:rsidRDefault="004B41E1" w:rsidP="00D66B76">
      <w:pPr>
        <w:shd w:val="clear" w:color="auto" w:fill="F2F2F2" w:themeFill="background1" w:themeFillShade="F2"/>
        <w:spacing w:after="120"/>
        <w:rPr>
          <w:b/>
          <w:bCs/>
          <w:lang w:val="fr-FR"/>
        </w:rPr>
      </w:pPr>
      <w:r w:rsidRPr="00D27EA1">
        <w:rPr>
          <w:b/>
          <w:bCs/>
          <w:lang w:val="fr-FR"/>
        </w:rPr>
        <w:t>Question 3</w:t>
      </w:r>
      <w:r w:rsidR="009942AF" w:rsidRPr="00D27EA1">
        <w:rPr>
          <w:b/>
          <w:bCs/>
          <w:lang w:val="fr-FR"/>
        </w:rPr>
        <w:t>c</w:t>
      </w:r>
      <w:r w:rsidR="0035034F" w:rsidRPr="00D27EA1">
        <w:rPr>
          <w:b/>
          <w:bCs/>
          <w:lang w:val="fr-FR"/>
        </w:rPr>
        <w:t xml:space="preserve"> : </w:t>
      </w:r>
      <w:r w:rsidR="008C76C5" w:rsidRPr="00D27EA1">
        <w:rPr>
          <w:b/>
          <w:bCs/>
          <w:lang w:val="fr-FR"/>
        </w:rPr>
        <w:t xml:space="preserve">En ce qui concerne le compte rendu </w:t>
      </w:r>
      <w:r w:rsidR="005121B3">
        <w:rPr>
          <w:b/>
          <w:bCs/>
          <w:lang w:val="fr-FR"/>
        </w:rPr>
        <w:t>mondial</w:t>
      </w:r>
      <w:r w:rsidR="008C76C5" w:rsidRPr="00D27EA1">
        <w:rPr>
          <w:b/>
          <w:bCs/>
          <w:lang w:val="fr-FR"/>
        </w:rPr>
        <w:t xml:space="preserve"> et régulier des progrès </w:t>
      </w:r>
      <w:r w:rsidR="008C76C5" w:rsidRPr="00D27EA1">
        <w:rPr>
          <w:rFonts w:eastAsia="Times New Roman" w:cs="Times New Roman"/>
          <w:b/>
          <w:bCs/>
          <w:lang w:val="fr-FR"/>
        </w:rPr>
        <w:t xml:space="preserve">accomplis </w:t>
      </w:r>
      <w:r w:rsidR="008C76C5" w:rsidRPr="00D27EA1">
        <w:rPr>
          <w:b/>
          <w:bCs/>
          <w:lang w:val="fr-FR"/>
        </w:rPr>
        <w:t>dans la mise en œuvre</w:t>
      </w:r>
      <w:r w:rsidR="008C76C5" w:rsidRPr="00D27EA1">
        <w:rPr>
          <w:rFonts w:eastAsia="Times New Roman" w:cs="Times New Roman"/>
          <w:b/>
          <w:bCs/>
          <w:lang w:val="fr-FR"/>
        </w:rPr>
        <w:t xml:space="preserve"> des engagements</w:t>
      </w:r>
      <w:r w:rsidR="00BD7DD9" w:rsidRPr="00D27EA1">
        <w:rPr>
          <w:rFonts w:eastAsia="Times New Roman" w:cs="Times New Roman"/>
          <w:b/>
          <w:bCs/>
          <w:lang w:val="fr-FR"/>
        </w:rPr>
        <w:t xml:space="preserve"> du IHP+, </w:t>
      </w:r>
      <w:r w:rsidR="00F96C4D" w:rsidRPr="00D27EA1">
        <w:rPr>
          <w:rFonts w:eastAsia="Times New Roman" w:cs="Times New Roman"/>
          <w:b/>
          <w:bCs/>
          <w:lang w:val="fr-FR"/>
        </w:rPr>
        <w:t>quelle est, selon vous, l’importance de la collecte d’informations qualitatives supplémentaires, et quel en est l’objectif ?</w:t>
      </w:r>
    </w:p>
    <w:p w14:paraId="6919094C" w14:textId="5B5F4473" w:rsidR="00F96C4D" w:rsidRPr="00D27EA1" w:rsidRDefault="00F96C4D" w:rsidP="00182E95">
      <w:pPr>
        <w:rPr>
          <w:lang w:val="fr-FR"/>
        </w:rPr>
      </w:pPr>
      <w:r w:rsidRPr="00D27EA1">
        <w:rPr>
          <w:lang w:val="fr-FR"/>
        </w:rPr>
        <w:t xml:space="preserve">Par exemple, </w:t>
      </w:r>
      <w:r w:rsidR="0084380B" w:rsidRPr="00D27EA1">
        <w:rPr>
          <w:lang w:val="fr-FR"/>
        </w:rPr>
        <w:t>afin d’aider à interpréter les indicateurs quantitatifs ci-dessus, ou afin de saisir des développements importants qui</w:t>
      </w:r>
      <w:r w:rsidR="00402DB6" w:rsidRPr="00D27EA1">
        <w:rPr>
          <w:lang w:val="fr-FR"/>
        </w:rPr>
        <w:t>,</w:t>
      </w:r>
      <w:r w:rsidR="0084380B" w:rsidRPr="00D27EA1">
        <w:rPr>
          <w:lang w:val="fr-FR"/>
        </w:rPr>
        <w:t xml:space="preserve"> </w:t>
      </w:r>
      <w:r w:rsidR="00402DB6" w:rsidRPr="00D27EA1">
        <w:rPr>
          <w:lang w:val="fr-FR"/>
        </w:rPr>
        <w:t>sans cela,</w:t>
      </w:r>
      <w:r w:rsidR="0084380B" w:rsidRPr="00D27EA1">
        <w:rPr>
          <w:lang w:val="fr-FR"/>
        </w:rPr>
        <w:t xml:space="preserve"> ne seraient pas </w:t>
      </w:r>
      <w:r w:rsidR="00402DB6" w:rsidRPr="00D27EA1">
        <w:rPr>
          <w:lang w:val="fr-FR"/>
        </w:rPr>
        <w:t>observés. Avez-vous des suggestions sur la meilleur</w:t>
      </w:r>
      <w:r w:rsidR="004F6E84" w:rsidRPr="00D27EA1">
        <w:rPr>
          <w:lang w:val="fr-FR"/>
        </w:rPr>
        <w:t>e</w:t>
      </w:r>
      <w:r w:rsidR="00402DB6" w:rsidRPr="00D27EA1">
        <w:rPr>
          <w:lang w:val="fr-FR"/>
        </w:rPr>
        <w:t xml:space="preserve"> manière de le faire tout en limitant au minimum la charge que cela représentera</w:t>
      </w:r>
      <w:r w:rsidR="004F6E84" w:rsidRPr="00D27EA1">
        <w:rPr>
          <w:lang w:val="fr-FR"/>
        </w:rPr>
        <w:t>it</w:t>
      </w:r>
      <w:r w:rsidR="00402DB6" w:rsidRPr="00D27EA1">
        <w:rPr>
          <w:lang w:val="fr-FR"/>
        </w:rPr>
        <w:t xml:space="preserve"> pour les signataires ?</w:t>
      </w:r>
      <w:r w:rsidR="00D27EA1">
        <w:rPr>
          <w:lang w:val="fr-FR"/>
        </w:rPr>
        <w:t xml:space="preserve"> </w:t>
      </w:r>
      <w:r w:rsidR="008C6199" w:rsidRPr="00D27EA1">
        <w:rPr>
          <w:lang w:val="fr-FR"/>
        </w:rPr>
        <w:t>Ces informations p</w:t>
      </w:r>
      <w:r w:rsidR="00402DB6" w:rsidRPr="00D27EA1">
        <w:rPr>
          <w:lang w:val="fr-FR"/>
        </w:rPr>
        <w:t>ourraient-elles être recueillies lors des processus d’examens annuels conjoints ?</w:t>
      </w:r>
    </w:p>
    <w:p w14:paraId="63C4D40B" w14:textId="7B946DEC" w:rsidR="00052E21" w:rsidRPr="00D27EA1" w:rsidRDefault="0035034F" w:rsidP="00C11A20">
      <w:pPr>
        <w:rPr>
          <w:lang w:val="fr-FR"/>
        </w:rPr>
      </w:pPr>
      <w:r w:rsidRPr="00D27EA1">
        <w:rPr>
          <w:b/>
          <w:bCs/>
          <w:noProof/>
        </w:rPr>
        <mc:AlternateContent>
          <mc:Choice Requires="wps">
            <w:drawing>
              <wp:inline distT="0" distB="0" distL="0" distR="0" wp14:anchorId="24648B52" wp14:editId="40419F2F">
                <wp:extent cx="5848350" cy="1301115"/>
                <wp:effectExtent l="0" t="0" r="19050" b="19685"/>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01115"/>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59B59A" w14:textId="77777777" w:rsidR="00A43962" w:rsidRPr="00E15AF7" w:rsidRDefault="00A43962" w:rsidP="008C6199">
                            <w:pPr>
                              <w:rPr>
                                <w:i/>
                                <w:lang w:val="fr-FR"/>
                              </w:rPr>
                            </w:pPr>
                            <w:r w:rsidRPr="00E15AF7">
                              <w:rPr>
                                <w:i/>
                                <w:lang w:val="fr-FR"/>
                              </w:rPr>
                              <w:t xml:space="preserve">Veuillez </w:t>
                            </w:r>
                            <w:r>
                              <w:rPr>
                                <w:i/>
                                <w:lang w:val="fr-FR"/>
                              </w:rPr>
                              <w:t>insérer</w:t>
                            </w:r>
                            <w:r w:rsidRPr="00E15AF7">
                              <w:rPr>
                                <w:i/>
                                <w:lang w:val="fr-FR"/>
                              </w:rPr>
                              <w:t xml:space="preserve"> ici vos commentaires et suggestions :</w:t>
                            </w:r>
                          </w:p>
                          <w:p w14:paraId="3321F3ED" w14:textId="77777777" w:rsidR="00A43962" w:rsidRPr="00144059" w:rsidRDefault="00A43962" w:rsidP="0035034F">
                            <w:pPr>
                              <w:rPr>
                                <w:i/>
                              </w:rPr>
                            </w:pPr>
                            <w:r>
                              <w:rPr>
                                <w:i/>
                              </w:rPr>
                              <w:t>……………………………………………………………………………………………………………………………………………………………..…………………………………………………………………………………………………………………………………………………………………………………………………………………………………………………………………………………………………………………………………………………………………………………………………………………………………………………………………………</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id="_x0000_s1029" type="#_x0000_t202" style="width:460.5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">
                <v:textbox>
                  <w:txbxContent>
                    <w:p w14:paraId="6559B59A" w14:textId="77777777" w:rsidR="00A43962" w:rsidRPr="00E15AF7" w:rsidRDefault="00A43962" w:rsidP="008C6199">
                      <w:pPr>
                        <w:rPr>
                          <w:i/>
                          <w:lang w:val="fr-FR"/>
                        </w:rPr>
                      </w:pPr>
                      <w:r w:rsidRPr="00E15AF7">
                        <w:rPr>
                          <w:i/>
                          <w:lang w:val="fr-FR"/>
                        </w:rPr>
                        <w:t xml:space="preserve">Veuillez </w:t>
                      </w:r>
                      <w:r>
                        <w:rPr>
                          <w:i/>
                          <w:lang w:val="fr-FR"/>
                        </w:rPr>
                        <w:t>insérer</w:t>
                      </w:r>
                      <w:r w:rsidRPr="00E15AF7">
                        <w:rPr>
                          <w:i/>
                          <w:lang w:val="fr-FR"/>
                        </w:rPr>
                        <w:t xml:space="preserve"> ici vos commentaires et suggestions :</w:t>
                      </w:r>
                    </w:p>
                    <w:p w14:paraId="3321F3ED" w14:textId="77777777" w:rsidR="00A43962" w:rsidRPr="00144059" w:rsidRDefault="00A43962" w:rsidP="0035034F">
                      <w:pPr>
                        <w:rPr>
                          <w:i/>
                        </w:rPr>
                      </w:pPr>
                      <w:r>
                        <w:rPr>
                          <w:i/>
                        </w:rPr>
                        <w:t>……………………………………………………………………………………………………………………………………………………………..…………………………………………………………………………………………………………………………………………………………………………………………………………………………………………………………………………………………………………………………………………………………………………………………………………………………………………………………………………</w:t>
                      </w:r>
                    </w:p>
                  </w:txbxContent>
                </v:textbox>
                <w10:anchorlock/>
              </v:shape>
            </w:pict>
          </mc:Fallback>
        </mc:AlternateContent>
      </w:r>
    </w:p>
    <w:p w14:paraId="11079B4A" w14:textId="77777777" w:rsidR="00182E95" w:rsidRPr="00D27EA1" w:rsidRDefault="00D8318A" w:rsidP="00D8318A">
      <w:pPr>
        <w:jc w:val="center"/>
        <w:rPr>
          <w:iCs/>
          <w:lang w:val="fr-FR"/>
        </w:rPr>
      </w:pPr>
      <w:r w:rsidRPr="00D27EA1">
        <w:rPr>
          <w:iCs/>
          <w:lang w:val="fr-FR"/>
        </w:rPr>
        <w:t>-----------------------------------</w:t>
      </w:r>
    </w:p>
    <w:p w14:paraId="17D722E6" w14:textId="2254B98C" w:rsidR="0077234A" w:rsidRPr="00D27EA1" w:rsidRDefault="0077234A" w:rsidP="00C11A20">
      <w:pPr>
        <w:rPr>
          <w:iCs/>
          <w:lang w:val="fr-FR"/>
        </w:rPr>
      </w:pPr>
      <w:r w:rsidRPr="00D27EA1">
        <w:rPr>
          <w:iCs/>
          <w:lang w:val="fr-FR"/>
        </w:rPr>
        <w:t xml:space="preserve">Merci d’avoir pris le temps de répondre à ces questions. Les </w:t>
      </w:r>
      <w:r w:rsidR="00B45A48" w:rsidRPr="00D27EA1">
        <w:rPr>
          <w:iCs/>
          <w:lang w:val="fr-FR"/>
        </w:rPr>
        <w:t>réponses</w:t>
      </w:r>
      <w:r w:rsidRPr="00D27EA1">
        <w:rPr>
          <w:iCs/>
          <w:lang w:val="fr-FR"/>
        </w:rPr>
        <w:t xml:space="preserve"> des signataires seront </w:t>
      </w:r>
      <w:r w:rsidR="00B45A48" w:rsidRPr="00D27EA1">
        <w:rPr>
          <w:iCs/>
          <w:lang w:val="fr-FR"/>
        </w:rPr>
        <w:t>incorporées</w:t>
      </w:r>
      <w:r w:rsidRPr="00D27EA1">
        <w:rPr>
          <w:iCs/>
          <w:lang w:val="fr-FR"/>
        </w:rPr>
        <w:t xml:space="preserve"> dans la proposition de suivi qui sera envoyée à tous les signataires </w:t>
      </w:r>
      <w:r w:rsidR="004F6E84" w:rsidRPr="00D27EA1">
        <w:rPr>
          <w:iCs/>
          <w:lang w:val="fr-FR"/>
        </w:rPr>
        <w:t>à la</w:t>
      </w:r>
      <w:r w:rsidRPr="00D27EA1">
        <w:rPr>
          <w:iCs/>
          <w:lang w:val="fr-FR"/>
        </w:rPr>
        <w:t xml:space="preserve"> mi-novembre. </w:t>
      </w:r>
    </w:p>
    <w:p w14:paraId="792ACB9E" w14:textId="4466F1A8" w:rsidR="00785FFC" w:rsidRPr="00D27EA1" w:rsidRDefault="0077234A" w:rsidP="00276E8E">
      <w:pPr>
        <w:rPr>
          <w:iCs/>
          <w:lang w:val="fr-FR"/>
        </w:rPr>
      </w:pPr>
      <w:r w:rsidRPr="00D27EA1">
        <w:rPr>
          <w:iCs/>
          <w:lang w:val="fr-FR"/>
        </w:rPr>
        <w:t xml:space="preserve">Une session spéciale sera organisée lors de la quatrième Réunion des équipes chargées du secteur de la santé dans les pays dans le cadre du IHP+ à Nairobi, afin de convenir des principes et grandes lignes d’une approche pour le futur </w:t>
      </w:r>
      <w:r w:rsidR="00B03A9E">
        <w:rPr>
          <w:iCs/>
          <w:lang w:val="fr-FR"/>
        </w:rPr>
        <w:t xml:space="preserve">du </w:t>
      </w:r>
      <w:r w:rsidRPr="00D27EA1">
        <w:rPr>
          <w:iCs/>
          <w:lang w:val="fr-FR"/>
        </w:rPr>
        <w:t xml:space="preserve">suivi. Une fois agréés, ceux-ci serviront de </w:t>
      </w:r>
      <w:r w:rsidR="00CE7E97" w:rsidRPr="00D27EA1">
        <w:rPr>
          <w:iCs/>
          <w:lang w:val="fr-FR"/>
        </w:rPr>
        <w:t>fondement</w:t>
      </w:r>
      <w:r w:rsidRPr="00D27EA1">
        <w:rPr>
          <w:iCs/>
          <w:lang w:val="fr-FR"/>
        </w:rPr>
        <w:t xml:space="preserve"> au développement d’une approche plus détaillée. Des liens seront maintenus avec </w:t>
      </w:r>
      <w:r w:rsidR="00C25F07" w:rsidRPr="00D27EA1">
        <w:rPr>
          <w:iCs/>
          <w:lang w:val="fr-FR"/>
        </w:rPr>
        <w:t>l’Accord de partenariat de Busan.</w:t>
      </w:r>
    </w:p>
    <w:p w14:paraId="5848A20F" w14:textId="77777777" w:rsidR="00785FFC" w:rsidRPr="00D27EA1" w:rsidRDefault="00785FFC" w:rsidP="00276E8E">
      <w:pPr>
        <w:rPr>
          <w:iCs/>
          <w:lang w:val="fr-FR"/>
        </w:rPr>
      </w:pPr>
    </w:p>
    <w:p w14:paraId="1CD9131B" w14:textId="77777777" w:rsidR="00663316" w:rsidRPr="00D27EA1" w:rsidRDefault="00663316">
      <w:pPr>
        <w:rPr>
          <w:rFonts w:cstheme="minorHAnsi"/>
          <w:b/>
          <w:bCs/>
          <w:lang w:val="fr-FR"/>
        </w:rPr>
      </w:pPr>
      <w:r w:rsidRPr="00D27EA1">
        <w:rPr>
          <w:rFonts w:cstheme="minorHAnsi"/>
          <w:b/>
          <w:bCs/>
          <w:lang w:val="fr-FR"/>
        </w:rPr>
        <w:br w:type="page"/>
      </w:r>
    </w:p>
    <w:p w14:paraId="757DFCCD" w14:textId="3C3988AB" w:rsidR="00785FFC" w:rsidRPr="00D27EA1" w:rsidRDefault="00785FFC" w:rsidP="00D27EA1">
      <w:pPr>
        <w:outlineLvl w:val="0"/>
        <w:rPr>
          <w:rFonts w:cstheme="minorHAnsi"/>
          <w:b/>
          <w:bCs/>
          <w:lang w:val="fr-FR"/>
        </w:rPr>
      </w:pPr>
      <w:r w:rsidRPr="00D27EA1">
        <w:rPr>
          <w:rFonts w:cstheme="minorHAnsi"/>
          <w:b/>
          <w:bCs/>
          <w:lang w:val="fr-FR"/>
        </w:rPr>
        <w:lastRenderedPageBreak/>
        <w:t>Annex</w:t>
      </w:r>
      <w:r w:rsidR="0095457F" w:rsidRPr="00D27EA1">
        <w:rPr>
          <w:rFonts w:cstheme="minorHAnsi"/>
          <w:b/>
          <w:bCs/>
          <w:lang w:val="fr-FR"/>
        </w:rPr>
        <w:t>e</w:t>
      </w:r>
      <w:r w:rsidRPr="00D27EA1">
        <w:rPr>
          <w:rFonts w:cstheme="minorHAnsi"/>
          <w:b/>
          <w:bCs/>
          <w:lang w:val="fr-FR"/>
        </w:rPr>
        <w:t xml:space="preserve"> 1. </w:t>
      </w:r>
      <w:r w:rsidR="0095457F" w:rsidRPr="00D27EA1">
        <w:rPr>
          <w:rFonts w:cstheme="minorHAnsi"/>
          <w:b/>
          <w:bCs/>
          <w:lang w:val="fr-FR"/>
        </w:rPr>
        <w:t>Liste des p</w:t>
      </w:r>
      <w:r w:rsidRPr="00D27EA1">
        <w:rPr>
          <w:rFonts w:cstheme="minorHAnsi"/>
          <w:b/>
          <w:bCs/>
          <w:lang w:val="fr-FR"/>
        </w:rPr>
        <w:t xml:space="preserve">articipants </w:t>
      </w:r>
      <w:r w:rsidR="0095457F" w:rsidRPr="00D27EA1">
        <w:rPr>
          <w:rFonts w:cstheme="minorHAnsi"/>
          <w:b/>
          <w:bCs/>
          <w:lang w:val="fr-FR"/>
        </w:rPr>
        <w:t>au cycle</w:t>
      </w:r>
      <w:r w:rsidRPr="00D27EA1">
        <w:rPr>
          <w:rFonts w:cstheme="minorHAnsi"/>
          <w:b/>
          <w:bCs/>
          <w:lang w:val="fr-FR"/>
        </w:rPr>
        <w:t xml:space="preserve"> 2012 </w:t>
      </w:r>
      <w:r w:rsidR="004E1D0C" w:rsidRPr="00D27EA1">
        <w:rPr>
          <w:rFonts w:cstheme="minorHAnsi"/>
          <w:b/>
          <w:bCs/>
          <w:lang w:val="fr-FR"/>
        </w:rPr>
        <w:t>de compte rendu et de suivi de</w:t>
      </w:r>
      <w:r w:rsidR="0095457F" w:rsidRPr="00D27EA1">
        <w:rPr>
          <w:rFonts w:cstheme="minorHAnsi"/>
          <w:b/>
          <w:bCs/>
          <w:lang w:val="fr-FR"/>
        </w:rPr>
        <w:t xml:space="preserve"> </w:t>
      </w:r>
      <w:proofErr w:type="spellStart"/>
      <w:r w:rsidRPr="00D27EA1">
        <w:rPr>
          <w:rFonts w:cstheme="minorHAnsi"/>
          <w:b/>
          <w:bCs/>
          <w:lang w:val="fr-FR"/>
        </w:rPr>
        <w:t>IHP+Results</w:t>
      </w:r>
      <w:proofErr w:type="spellEnd"/>
      <w:r w:rsidRPr="00D27EA1">
        <w:rPr>
          <w:rFonts w:cstheme="minorHAnsi"/>
          <w:b/>
          <w:bCs/>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5776"/>
      </w:tblGrid>
      <w:tr w:rsidR="00785FFC" w:rsidRPr="00D27EA1" w14:paraId="289175BF" w14:textId="77777777" w:rsidTr="00D27EA1">
        <w:tc>
          <w:tcPr>
            <w:tcW w:w="3800" w:type="dxa"/>
            <w:tcBorders>
              <w:bottom w:val="single" w:sz="4" w:space="0" w:color="auto"/>
            </w:tcBorders>
          </w:tcPr>
          <w:p w14:paraId="7D583F20" w14:textId="063CE1AA" w:rsidR="00785FFC" w:rsidRPr="00D27EA1" w:rsidRDefault="00CE7E97" w:rsidP="00BC2B3B">
            <w:pPr>
              <w:keepNext/>
              <w:keepLines/>
              <w:spacing w:before="200" w:line="276" w:lineRule="auto"/>
              <w:outlineLvl w:val="3"/>
              <w:rPr>
                <w:rFonts w:cstheme="minorHAnsi"/>
                <w:b/>
                <w:bCs/>
                <w:sz w:val="20"/>
                <w:szCs w:val="20"/>
                <w:lang w:val="fr-FR"/>
              </w:rPr>
            </w:pPr>
            <w:r w:rsidRPr="00D27EA1">
              <w:rPr>
                <w:rFonts w:cstheme="minorHAnsi"/>
                <w:b/>
                <w:bCs/>
                <w:sz w:val="20"/>
                <w:szCs w:val="20"/>
                <w:lang w:val="fr-FR"/>
              </w:rPr>
              <w:t xml:space="preserve">Pays </w:t>
            </w:r>
          </w:p>
        </w:tc>
        <w:tc>
          <w:tcPr>
            <w:tcW w:w="5776" w:type="dxa"/>
            <w:tcBorders>
              <w:bottom w:val="single" w:sz="4" w:space="0" w:color="auto"/>
            </w:tcBorders>
          </w:tcPr>
          <w:p w14:paraId="3D7ABC2A" w14:textId="68A9EC8E" w:rsidR="00785FFC" w:rsidRPr="00D27EA1" w:rsidRDefault="00CE7E97" w:rsidP="00BC2B3B">
            <w:pPr>
              <w:keepNext/>
              <w:keepLines/>
              <w:spacing w:before="200" w:line="276" w:lineRule="auto"/>
              <w:outlineLvl w:val="3"/>
              <w:rPr>
                <w:rFonts w:cstheme="minorHAnsi"/>
                <w:b/>
                <w:bCs/>
                <w:sz w:val="20"/>
                <w:szCs w:val="20"/>
                <w:lang w:val="fr-FR"/>
              </w:rPr>
            </w:pPr>
            <w:r w:rsidRPr="00D27EA1">
              <w:rPr>
                <w:rFonts w:cstheme="minorHAnsi"/>
                <w:b/>
                <w:bCs/>
                <w:sz w:val="20"/>
                <w:szCs w:val="20"/>
                <w:lang w:val="fr-FR"/>
              </w:rPr>
              <w:t>Partenaire du développement</w:t>
            </w:r>
          </w:p>
        </w:tc>
      </w:tr>
      <w:tr w:rsidR="004E1D0C" w:rsidRPr="00D27EA1" w14:paraId="2459E946" w14:textId="77777777" w:rsidTr="00D27EA1">
        <w:tc>
          <w:tcPr>
            <w:tcW w:w="3800" w:type="dxa"/>
            <w:tcBorders>
              <w:top w:val="single" w:sz="4" w:space="0" w:color="auto"/>
            </w:tcBorders>
          </w:tcPr>
          <w:p w14:paraId="32DA6C88" w14:textId="59E4ED75"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Bénin</w:t>
            </w:r>
          </w:p>
        </w:tc>
        <w:tc>
          <w:tcPr>
            <w:tcW w:w="5776" w:type="dxa"/>
            <w:tcBorders>
              <w:top w:val="single" w:sz="4" w:space="0" w:color="auto"/>
            </w:tcBorders>
          </w:tcPr>
          <w:p w14:paraId="00825DEC" w14:textId="3E769498" w:rsidR="004E1D0C" w:rsidRPr="007440F8" w:rsidRDefault="004E1D0C" w:rsidP="00DB62C7">
            <w:pPr>
              <w:keepNext/>
              <w:keepLines/>
              <w:spacing w:before="200" w:line="276" w:lineRule="auto"/>
              <w:outlineLvl w:val="3"/>
              <w:rPr>
                <w:rFonts w:cstheme="minorHAnsi"/>
                <w:sz w:val="20"/>
                <w:szCs w:val="20"/>
                <w:lang w:val="fr-FR"/>
              </w:rPr>
            </w:pPr>
            <w:r w:rsidRPr="007440F8">
              <w:rPr>
                <w:iCs/>
                <w:sz w:val="20"/>
                <w:szCs w:val="20"/>
                <w:lang w:val="fr-FR"/>
              </w:rPr>
              <w:t>Allemagne</w:t>
            </w:r>
          </w:p>
        </w:tc>
      </w:tr>
      <w:tr w:rsidR="004E1D0C" w:rsidRPr="00D27EA1" w14:paraId="398EE38F" w14:textId="77777777" w:rsidTr="00D27EA1">
        <w:tc>
          <w:tcPr>
            <w:tcW w:w="3800" w:type="dxa"/>
          </w:tcPr>
          <w:p w14:paraId="2856E14C" w14:textId="77777777"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Burkina Faso</w:t>
            </w:r>
          </w:p>
        </w:tc>
        <w:tc>
          <w:tcPr>
            <w:tcW w:w="5776" w:type="dxa"/>
          </w:tcPr>
          <w:p w14:paraId="280DEECD" w14:textId="662F650E"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 xml:space="preserve">Alliance GAVI </w:t>
            </w:r>
          </w:p>
        </w:tc>
      </w:tr>
      <w:tr w:rsidR="004E1D0C" w:rsidRPr="00D27EA1" w14:paraId="3CADC9C5" w14:textId="77777777" w:rsidTr="00D27EA1">
        <w:tc>
          <w:tcPr>
            <w:tcW w:w="3800" w:type="dxa"/>
          </w:tcPr>
          <w:p w14:paraId="39BCC62B" w14:textId="77777777"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Burundi</w:t>
            </w:r>
          </w:p>
        </w:tc>
        <w:tc>
          <w:tcPr>
            <w:tcW w:w="5776" w:type="dxa"/>
          </w:tcPr>
          <w:p w14:paraId="1A0B4048" w14:textId="4344C21F" w:rsidR="004E1D0C" w:rsidRPr="007440F8" w:rsidRDefault="004E1D0C" w:rsidP="00DB62C7">
            <w:pPr>
              <w:keepNext/>
              <w:keepLines/>
              <w:spacing w:before="200" w:line="276" w:lineRule="auto"/>
              <w:outlineLvl w:val="3"/>
              <w:rPr>
                <w:rFonts w:cstheme="minorHAnsi"/>
                <w:i/>
                <w:sz w:val="20"/>
                <w:szCs w:val="20"/>
                <w:lang w:val="fr-FR"/>
              </w:rPr>
            </w:pPr>
            <w:proofErr w:type="spellStart"/>
            <w:r w:rsidRPr="007440F8">
              <w:rPr>
                <w:i/>
                <w:sz w:val="20"/>
                <w:szCs w:val="20"/>
                <w:lang w:val="fr-FR"/>
              </w:rPr>
              <w:t>AusAID</w:t>
            </w:r>
            <w:proofErr w:type="spellEnd"/>
          </w:p>
        </w:tc>
      </w:tr>
      <w:tr w:rsidR="004E1D0C" w:rsidRPr="007440F8" w14:paraId="3C8940B0" w14:textId="77777777" w:rsidTr="00D27EA1">
        <w:tc>
          <w:tcPr>
            <w:tcW w:w="3800" w:type="dxa"/>
          </w:tcPr>
          <w:p w14:paraId="72226C92" w14:textId="77777777"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Djibouti</w:t>
            </w:r>
          </w:p>
        </w:tc>
        <w:tc>
          <w:tcPr>
            <w:tcW w:w="5776" w:type="dxa"/>
          </w:tcPr>
          <w:p w14:paraId="2DAC0D5C" w14:textId="3FD7F8A7" w:rsidR="004E1D0C" w:rsidRPr="007440F8" w:rsidRDefault="004E1D0C" w:rsidP="00DB62C7">
            <w:pPr>
              <w:keepNext/>
              <w:keepLines/>
              <w:spacing w:before="200" w:line="276" w:lineRule="auto"/>
              <w:outlineLvl w:val="3"/>
              <w:rPr>
                <w:rFonts w:cstheme="minorHAnsi"/>
                <w:i/>
                <w:sz w:val="20"/>
                <w:szCs w:val="20"/>
                <w:lang w:val="fr-FR"/>
              </w:rPr>
            </w:pPr>
            <w:r w:rsidRPr="007440F8">
              <w:rPr>
                <w:iCs/>
                <w:sz w:val="20"/>
                <w:szCs w:val="20"/>
                <w:lang w:val="fr-FR"/>
              </w:rPr>
              <w:t>Banque africaine de développement (BAD)</w:t>
            </w:r>
          </w:p>
        </w:tc>
      </w:tr>
      <w:tr w:rsidR="004E1D0C" w:rsidRPr="00D27EA1" w14:paraId="4676165E" w14:textId="77777777" w:rsidTr="00D27EA1">
        <w:tc>
          <w:tcPr>
            <w:tcW w:w="3800" w:type="dxa"/>
          </w:tcPr>
          <w:p w14:paraId="7883779A" w14:textId="300ED8F2" w:rsidR="004E1D0C" w:rsidRPr="00D27EA1" w:rsidRDefault="00B45A48" w:rsidP="00DB62C7">
            <w:pPr>
              <w:keepNext/>
              <w:keepLines/>
              <w:spacing w:before="200" w:line="276" w:lineRule="auto"/>
              <w:outlineLvl w:val="3"/>
              <w:rPr>
                <w:rFonts w:cstheme="minorHAnsi"/>
                <w:i/>
                <w:iCs/>
                <w:sz w:val="20"/>
                <w:szCs w:val="20"/>
                <w:lang w:val="fr-FR"/>
              </w:rPr>
            </w:pPr>
            <w:r w:rsidRPr="00D27EA1">
              <w:rPr>
                <w:rFonts w:cstheme="minorHAnsi"/>
                <w:i/>
                <w:iCs/>
                <w:sz w:val="20"/>
                <w:szCs w:val="20"/>
                <w:lang w:val="fr-FR"/>
              </w:rPr>
              <w:t>Éthiopie</w:t>
            </w:r>
          </w:p>
        </w:tc>
        <w:tc>
          <w:tcPr>
            <w:tcW w:w="5776" w:type="dxa"/>
          </w:tcPr>
          <w:p w14:paraId="66903CB7" w14:textId="44A587E4"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Banque mondiale</w:t>
            </w:r>
          </w:p>
        </w:tc>
      </w:tr>
      <w:tr w:rsidR="004E1D0C" w:rsidRPr="00D27EA1" w14:paraId="187A9227" w14:textId="77777777" w:rsidTr="00D27EA1">
        <w:tc>
          <w:tcPr>
            <w:tcW w:w="3800" w:type="dxa"/>
          </w:tcPr>
          <w:p w14:paraId="3B44DE7A" w14:textId="1D5B16B6" w:rsidR="004E1D0C" w:rsidRPr="00D27EA1" w:rsidRDefault="004E1D0C" w:rsidP="00DB62C7">
            <w:pPr>
              <w:keepNext/>
              <w:keepLines/>
              <w:spacing w:before="200" w:line="276" w:lineRule="auto"/>
              <w:outlineLvl w:val="3"/>
              <w:rPr>
                <w:rFonts w:cstheme="minorHAnsi"/>
                <w:sz w:val="20"/>
                <w:szCs w:val="20"/>
                <w:lang w:val="fr-FR"/>
              </w:rPr>
            </w:pPr>
            <w:r w:rsidRPr="00D27EA1">
              <w:rPr>
                <w:rFonts w:cstheme="minorHAnsi"/>
                <w:sz w:val="20"/>
                <w:szCs w:val="20"/>
                <w:lang w:val="fr-FR"/>
              </w:rPr>
              <w:t>Le Salvador</w:t>
            </w:r>
          </w:p>
        </w:tc>
        <w:tc>
          <w:tcPr>
            <w:tcW w:w="5776" w:type="dxa"/>
          </w:tcPr>
          <w:p w14:paraId="5C17CF5A" w14:textId="4A8318A3"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Belgique</w:t>
            </w:r>
          </w:p>
        </w:tc>
      </w:tr>
      <w:tr w:rsidR="004E1D0C" w:rsidRPr="00D27EA1" w14:paraId="4F37FA98" w14:textId="77777777" w:rsidTr="00D27EA1">
        <w:tc>
          <w:tcPr>
            <w:tcW w:w="3800" w:type="dxa"/>
          </w:tcPr>
          <w:p w14:paraId="3145AF92" w14:textId="77777777"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Mali</w:t>
            </w:r>
          </w:p>
        </w:tc>
        <w:tc>
          <w:tcPr>
            <w:tcW w:w="5776" w:type="dxa"/>
          </w:tcPr>
          <w:p w14:paraId="596D3FDE" w14:textId="2254FADC"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Commission européenne</w:t>
            </w:r>
          </w:p>
        </w:tc>
      </w:tr>
      <w:tr w:rsidR="004E1D0C" w:rsidRPr="00D27EA1" w14:paraId="0A091864" w14:textId="77777777" w:rsidTr="00D27EA1">
        <w:tc>
          <w:tcPr>
            <w:tcW w:w="3800" w:type="dxa"/>
          </w:tcPr>
          <w:p w14:paraId="319575FB" w14:textId="31289500"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Mauritanie</w:t>
            </w:r>
          </w:p>
        </w:tc>
        <w:tc>
          <w:tcPr>
            <w:tcW w:w="5776" w:type="dxa"/>
          </w:tcPr>
          <w:p w14:paraId="4DDBF314" w14:textId="7CE8FAFC"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Espagne</w:t>
            </w:r>
          </w:p>
        </w:tc>
      </w:tr>
      <w:tr w:rsidR="004E1D0C" w:rsidRPr="007440F8" w14:paraId="0FFCAF3F" w14:textId="77777777" w:rsidTr="00D27EA1">
        <w:tc>
          <w:tcPr>
            <w:tcW w:w="3800" w:type="dxa"/>
          </w:tcPr>
          <w:p w14:paraId="19F96ACE" w14:textId="77777777"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Mozambique</w:t>
            </w:r>
          </w:p>
        </w:tc>
        <w:tc>
          <w:tcPr>
            <w:tcW w:w="5776" w:type="dxa"/>
          </w:tcPr>
          <w:p w14:paraId="10831657" w14:textId="1FE80E77"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Fonds mondial de lutte contre le SIDA, la tuberculose et le paludisme</w:t>
            </w:r>
          </w:p>
        </w:tc>
      </w:tr>
      <w:tr w:rsidR="004E1D0C" w:rsidRPr="00D27EA1" w14:paraId="3D7ACB0C" w14:textId="77777777" w:rsidTr="00D27EA1">
        <w:tc>
          <w:tcPr>
            <w:tcW w:w="3800" w:type="dxa"/>
          </w:tcPr>
          <w:p w14:paraId="6BDBBABB" w14:textId="247FBA35"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Népal</w:t>
            </w:r>
          </w:p>
        </w:tc>
        <w:tc>
          <w:tcPr>
            <w:tcW w:w="5776" w:type="dxa"/>
          </w:tcPr>
          <w:p w14:paraId="679796A3" w14:textId="531747F6"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Norvège</w:t>
            </w:r>
          </w:p>
        </w:tc>
      </w:tr>
      <w:tr w:rsidR="004E1D0C" w:rsidRPr="00D27EA1" w14:paraId="0DE91519" w14:textId="77777777" w:rsidTr="00D27EA1">
        <w:tc>
          <w:tcPr>
            <w:tcW w:w="3800" w:type="dxa"/>
          </w:tcPr>
          <w:p w14:paraId="2ACC716A" w14:textId="77777777"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Niger</w:t>
            </w:r>
          </w:p>
        </w:tc>
        <w:tc>
          <w:tcPr>
            <w:tcW w:w="5776" w:type="dxa"/>
          </w:tcPr>
          <w:p w14:paraId="0027B220" w14:textId="3F3097DC" w:rsidR="004E1D0C" w:rsidRPr="007440F8" w:rsidRDefault="004E1D0C" w:rsidP="00DB62C7">
            <w:pPr>
              <w:spacing w:before="200" w:line="276" w:lineRule="auto"/>
              <w:rPr>
                <w:rFonts w:cstheme="minorHAnsi"/>
                <w:i/>
                <w:sz w:val="20"/>
                <w:szCs w:val="20"/>
                <w:lang w:val="fr-FR"/>
              </w:rPr>
            </w:pPr>
            <w:r w:rsidRPr="007440F8">
              <w:rPr>
                <w:i/>
                <w:sz w:val="20"/>
                <w:szCs w:val="20"/>
                <w:lang w:val="fr-FR"/>
              </w:rPr>
              <w:t xml:space="preserve">OMS </w:t>
            </w:r>
          </w:p>
        </w:tc>
      </w:tr>
      <w:tr w:rsidR="004E1D0C" w:rsidRPr="00D27EA1" w14:paraId="6DD4E230" w14:textId="77777777" w:rsidTr="00D27EA1">
        <w:tc>
          <w:tcPr>
            <w:tcW w:w="3800" w:type="dxa"/>
          </w:tcPr>
          <w:p w14:paraId="41DB1EA6" w14:textId="463EB78D" w:rsidR="004E1D0C" w:rsidRPr="00D27EA1" w:rsidRDefault="004E1D0C" w:rsidP="00DB62C7">
            <w:pPr>
              <w:spacing w:before="200" w:line="276" w:lineRule="auto"/>
              <w:rPr>
                <w:rFonts w:cstheme="minorHAnsi"/>
                <w:i/>
                <w:iCs/>
                <w:sz w:val="20"/>
                <w:szCs w:val="20"/>
                <w:lang w:val="fr-FR"/>
              </w:rPr>
            </w:pPr>
            <w:r w:rsidRPr="00D27EA1">
              <w:rPr>
                <w:rFonts w:cstheme="minorHAnsi"/>
                <w:i/>
                <w:iCs/>
                <w:sz w:val="20"/>
                <w:szCs w:val="20"/>
                <w:lang w:val="fr-FR"/>
              </w:rPr>
              <w:t>Nigéria</w:t>
            </w:r>
          </w:p>
        </w:tc>
        <w:tc>
          <w:tcPr>
            <w:tcW w:w="5776" w:type="dxa"/>
          </w:tcPr>
          <w:p w14:paraId="0E33A1DA" w14:textId="6F1473E3"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ONUSIDA</w:t>
            </w:r>
          </w:p>
        </w:tc>
      </w:tr>
      <w:tr w:rsidR="004E1D0C" w:rsidRPr="00D27EA1" w14:paraId="04AA077A" w14:textId="77777777" w:rsidTr="00D27EA1">
        <w:tc>
          <w:tcPr>
            <w:tcW w:w="3800" w:type="dxa"/>
          </w:tcPr>
          <w:p w14:paraId="1AF63BE8" w14:textId="7EAEB93B" w:rsidR="004E1D0C" w:rsidRPr="00D27EA1" w:rsidRDefault="004E1D0C" w:rsidP="00DB62C7">
            <w:pPr>
              <w:keepNext/>
              <w:keepLines/>
              <w:spacing w:before="200" w:line="276" w:lineRule="auto"/>
              <w:outlineLvl w:val="3"/>
              <w:rPr>
                <w:rFonts w:cstheme="minorHAnsi"/>
                <w:sz w:val="20"/>
                <w:szCs w:val="20"/>
                <w:lang w:val="fr-FR"/>
              </w:rPr>
            </w:pPr>
            <w:r w:rsidRPr="00D27EA1">
              <w:rPr>
                <w:rFonts w:cstheme="minorHAnsi"/>
                <w:sz w:val="20"/>
                <w:szCs w:val="20"/>
                <w:lang w:val="fr-FR"/>
              </w:rPr>
              <w:t>Ouganda</w:t>
            </w:r>
          </w:p>
        </w:tc>
        <w:tc>
          <w:tcPr>
            <w:tcW w:w="5776" w:type="dxa"/>
          </w:tcPr>
          <w:p w14:paraId="7364FF7B" w14:textId="43F201A2"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Pays-Bas</w:t>
            </w:r>
          </w:p>
        </w:tc>
      </w:tr>
      <w:tr w:rsidR="004E1D0C" w:rsidRPr="00D27EA1" w14:paraId="632260D9" w14:textId="77777777" w:rsidTr="00D27EA1">
        <w:tc>
          <w:tcPr>
            <w:tcW w:w="3800" w:type="dxa"/>
          </w:tcPr>
          <w:p w14:paraId="09ED751E" w14:textId="100510AF" w:rsidR="004E1D0C" w:rsidRPr="00D27EA1" w:rsidRDefault="004E1D0C" w:rsidP="00DB62C7">
            <w:pPr>
              <w:keepNext/>
              <w:keepLines/>
              <w:spacing w:before="200" w:line="276" w:lineRule="auto"/>
              <w:outlineLvl w:val="3"/>
              <w:rPr>
                <w:rFonts w:cstheme="minorHAnsi"/>
                <w:i/>
                <w:iCs/>
                <w:sz w:val="20"/>
                <w:szCs w:val="20"/>
                <w:lang w:val="fr-FR"/>
              </w:rPr>
            </w:pPr>
            <w:r w:rsidRPr="00D27EA1">
              <w:rPr>
                <w:rFonts w:cstheme="minorHAnsi"/>
                <w:i/>
                <w:iCs/>
                <w:sz w:val="20"/>
                <w:szCs w:val="20"/>
                <w:lang w:val="fr-FR"/>
              </w:rPr>
              <w:t>RDC</w:t>
            </w:r>
          </w:p>
        </w:tc>
        <w:tc>
          <w:tcPr>
            <w:tcW w:w="5776" w:type="dxa"/>
          </w:tcPr>
          <w:p w14:paraId="75B2B04D" w14:textId="2D5DD3FB"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Royaume-Uni</w:t>
            </w:r>
          </w:p>
        </w:tc>
      </w:tr>
      <w:tr w:rsidR="004E1D0C" w:rsidRPr="00D27EA1" w14:paraId="17E84BD6" w14:textId="77777777" w:rsidTr="00D27EA1">
        <w:tc>
          <w:tcPr>
            <w:tcW w:w="3800" w:type="dxa"/>
          </w:tcPr>
          <w:p w14:paraId="38EA4DCF" w14:textId="77777777"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Rwanda</w:t>
            </w:r>
          </w:p>
        </w:tc>
        <w:tc>
          <w:tcPr>
            <w:tcW w:w="5776" w:type="dxa"/>
          </w:tcPr>
          <w:p w14:paraId="0FB7C409" w14:textId="039A05D3"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Suède</w:t>
            </w:r>
          </w:p>
        </w:tc>
      </w:tr>
      <w:tr w:rsidR="004E1D0C" w:rsidRPr="00D27EA1" w14:paraId="79D71556" w14:textId="77777777" w:rsidTr="00D27EA1">
        <w:tc>
          <w:tcPr>
            <w:tcW w:w="3800" w:type="dxa"/>
          </w:tcPr>
          <w:p w14:paraId="45B21DEB" w14:textId="53A2F2E6"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Sénégal</w:t>
            </w:r>
          </w:p>
        </w:tc>
        <w:tc>
          <w:tcPr>
            <w:tcW w:w="5776" w:type="dxa"/>
          </w:tcPr>
          <w:p w14:paraId="5D329DA8" w14:textId="303CD87F"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UNFPA</w:t>
            </w:r>
          </w:p>
        </w:tc>
      </w:tr>
      <w:tr w:rsidR="004E1D0C" w:rsidRPr="00D27EA1" w14:paraId="355981A1" w14:textId="77777777" w:rsidTr="00D27EA1">
        <w:tc>
          <w:tcPr>
            <w:tcW w:w="3800" w:type="dxa"/>
          </w:tcPr>
          <w:p w14:paraId="4B5A863E" w14:textId="77777777"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Sierra Leone</w:t>
            </w:r>
          </w:p>
        </w:tc>
        <w:tc>
          <w:tcPr>
            <w:tcW w:w="5776" w:type="dxa"/>
          </w:tcPr>
          <w:p w14:paraId="6ADCD80E" w14:textId="0A0B7F6A" w:rsidR="004E1D0C" w:rsidRPr="007440F8" w:rsidRDefault="004E1D0C" w:rsidP="00DB62C7">
            <w:pPr>
              <w:keepNext/>
              <w:keepLines/>
              <w:spacing w:before="200" w:line="276" w:lineRule="auto"/>
              <w:outlineLvl w:val="3"/>
              <w:rPr>
                <w:rFonts w:cstheme="minorHAnsi"/>
                <w:i/>
                <w:sz w:val="20"/>
                <w:szCs w:val="20"/>
                <w:lang w:val="fr-FR"/>
              </w:rPr>
            </w:pPr>
            <w:r w:rsidRPr="007440F8">
              <w:rPr>
                <w:i/>
                <w:sz w:val="20"/>
                <w:szCs w:val="20"/>
                <w:lang w:val="fr-FR"/>
              </w:rPr>
              <w:t>UNICEF</w:t>
            </w:r>
          </w:p>
        </w:tc>
      </w:tr>
      <w:tr w:rsidR="004E1D0C" w:rsidRPr="00D27EA1" w14:paraId="3DAC3B73" w14:textId="77777777" w:rsidTr="00D27EA1">
        <w:tc>
          <w:tcPr>
            <w:tcW w:w="3800" w:type="dxa"/>
          </w:tcPr>
          <w:p w14:paraId="45CED0BC" w14:textId="77777777"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Soudan</w:t>
            </w:r>
          </w:p>
        </w:tc>
        <w:tc>
          <w:tcPr>
            <w:tcW w:w="5776" w:type="dxa"/>
          </w:tcPr>
          <w:p w14:paraId="2A2A8E92" w14:textId="543464F1" w:rsidR="004E1D0C" w:rsidRPr="00D27EA1" w:rsidRDefault="004E1D0C" w:rsidP="00DB62C7">
            <w:pPr>
              <w:keepNext/>
              <w:keepLines/>
              <w:spacing w:before="200" w:line="276" w:lineRule="auto"/>
              <w:outlineLvl w:val="3"/>
              <w:rPr>
                <w:rFonts w:cstheme="minorHAnsi"/>
                <w:i/>
                <w:iCs/>
                <w:sz w:val="20"/>
                <w:szCs w:val="20"/>
                <w:lang w:val="fr-FR"/>
              </w:rPr>
            </w:pPr>
          </w:p>
        </w:tc>
      </w:tr>
      <w:tr w:rsidR="004E1D0C" w:rsidRPr="00D27EA1" w14:paraId="2FEBFE01" w14:textId="77777777" w:rsidTr="00D27EA1">
        <w:tc>
          <w:tcPr>
            <w:tcW w:w="3800" w:type="dxa"/>
            <w:tcBorders>
              <w:bottom w:val="single" w:sz="4" w:space="0" w:color="auto"/>
            </w:tcBorders>
          </w:tcPr>
          <w:p w14:paraId="13717E66" w14:textId="77777777" w:rsidR="004E1D0C" w:rsidRPr="00D27EA1" w:rsidRDefault="004E1D0C" w:rsidP="00DB62C7">
            <w:pPr>
              <w:spacing w:before="200" w:line="276" w:lineRule="auto"/>
              <w:rPr>
                <w:rFonts w:cstheme="minorHAnsi"/>
                <w:sz w:val="20"/>
                <w:szCs w:val="20"/>
                <w:lang w:val="fr-FR"/>
              </w:rPr>
            </w:pPr>
            <w:r w:rsidRPr="00D27EA1">
              <w:rPr>
                <w:rFonts w:cstheme="minorHAnsi"/>
                <w:sz w:val="20"/>
                <w:szCs w:val="20"/>
                <w:lang w:val="fr-FR"/>
              </w:rPr>
              <w:t>Togo</w:t>
            </w:r>
          </w:p>
        </w:tc>
        <w:tc>
          <w:tcPr>
            <w:tcW w:w="5776" w:type="dxa"/>
            <w:tcBorders>
              <w:bottom w:val="single" w:sz="4" w:space="0" w:color="auto"/>
            </w:tcBorders>
          </w:tcPr>
          <w:p w14:paraId="040ADDCF" w14:textId="6BD211BE" w:rsidR="004E1D0C" w:rsidRPr="00D27EA1" w:rsidRDefault="004E1D0C" w:rsidP="00DB62C7">
            <w:pPr>
              <w:spacing w:before="200" w:line="276" w:lineRule="auto"/>
              <w:rPr>
                <w:rFonts w:ascii="Tahoma" w:hAnsi="Tahoma" w:cstheme="minorHAnsi"/>
                <w:sz w:val="20"/>
                <w:szCs w:val="20"/>
                <w:lang w:val="fr-FR"/>
              </w:rPr>
            </w:pPr>
          </w:p>
        </w:tc>
      </w:tr>
    </w:tbl>
    <w:p w14:paraId="3EB099CC" w14:textId="3E7ABE2E" w:rsidR="00785FFC" w:rsidRPr="00D27EA1" w:rsidRDefault="00785FFC" w:rsidP="00663316">
      <w:pPr>
        <w:spacing w:before="240" w:after="0" w:line="240" w:lineRule="auto"/>
        <w:rPr>
          <w:rFonts w:cstheme="minorHAnsi"/>
          <w:i/>
          <w:iCs/>
          <w:sz w:val="20"/>
          <w:szCs w:val="20"/>
          <w:lang w:val="fr-FR"/>
        </w:rPr>
      </w:pPr>
      <w:r w:rsidRPr="00D27EA1">
        <w:rPr>
          <w:rFonts w:cstheme="minorHAnsi"/>
          <w:i/>
          <w:iCs/>
          <w:sz w:val="20"/>
          <w:szCs w:val="20"/>
          <w:lang w:val="fr-FR"/>
        </w:rPr>
        <w:t xml:space="preserve">Note: </w:t>
      </w:r>
      <w:r w:rsidR="004E1D0C" w:rsidRPr="00D27EA1">
        <w:rPr>
          <w:rFonts w:cstheme="minorHAnsi"/>
          <w:i/>
          <w:iCs/>
          <w:sz w:val="20"/>
          <w:szCs w:val="20"/>
          <w:lang w:val="fr-FR"/>
        </w:rPr>
        <w:t>Les p</w:t>
      </w:r>
      <w:r w:rsidRPr="00D27EA1">
        <w:rPr>
          <w:rFonts w:cstheme="minorHAnsi"/>
          <w:i/>
          <w:iCs/>
          <w:sz w:val="20"/>
          <w:szCs w:val="20"/>
          <w:lang w:val="fr-FR"/>
        </w:rPr>
        <w:t>articipants</w:t>
      </w:r>
      <w:r w:rsidR="004E1D0C" w:rsidRPr="00D27EA1">
        <w:rPr>
          <w:rFonts w:cstheme="minorHAnsi"/>
          <w:i/>
          <w:iCs/>
          <w:sz w:val="20"/>
          <w:szCs w:val="20"/>
          <w:lang w:val="fr-FR"/>
        </w:rPr>
        <w:t xml:space="preserve"> dont le</w:t>
      </w:r>
      <w:r w:rsidR="00CE7E97" w:rsidRPr="00D27EA1">
        <w:rPr>
          <w:rFonts w:cstheme="minorHAnsi"/>
          <w:i/>
          <w:iCs/>
          <w:sz w:val="20"/>
          <w:szCs w:val="20"/>
          <w:lang w:val="fr-FR"/>
        </w:rPr>
        <w:t xml:space="preserve"> nom</w:t>
      </w:r>
      <w:r w:rsidR="004E1D0C" w:rsidRPr="00D27EA1">
        <w:rPr>
          <w:rFonts w:cstheme="minorHAnsi"/>
          <w:i/>
          <w:iCs/>
          <w:sz w:val="20"/>
          <w:szCs w:val="20"/>
          <w:lang w:val="fr-FR"/>
        </w:rPr>
        <w:t xml:space="preserve"> </w:t>
      </w:r>
      <w:r w:rsidR="0041716A" w:rsidRPr="00D27EA1">
        <w:rPr>
          <w:rFonts w:cstheme="minorHAnsi"/>
          <w:i/>
          <w:iCs/>
          <w:sz w:val="20"/>
          <w:szCs w:val="20"/>
          <w:lang w:val="fr-FR"/>
        </w:rPr>
        <w:t xml:space="preserve">est en italiques ont également participé au cycle 2010 de compte rendu et de suivi de </w:t>
      </w:r>
      <w:proofErr w:type="spellStart"/>
      <w:r w:rsidR="0041716A" w:rsidRPr="00D27EA1">
        <w:rPr>
          <w:rFonts w:cstheme="minorHAnsi"/>
          <w:i/>
          <w:iCs/>
          <w:sz w:val="20"/>
          <w:szCs w:val="20"/>
          <w:lang w:val="fr-FR"/>
        </w:rPr>
        <w:t>IHP+Results</w:t>
      </w:r>
      <w:proofErr w:type="spellEnd"/>
      <w:r w:rsidR="00D27EA1">
        <w:rPr>
          <w:rFonts w:cstheme="minorHAnsi"/>
          <w:i/>
          <w:iCs/>
          <w:sz w:val="20"/>
          <w:szCs w:val="20"/>
          <w:lang w:val="fr-FR"/>
        </w:rPr>
        <w:t xml:space="preserve"> </w:t>
      </w:r>
    </w:p>
    <w:p w14:paraId="18090A51" w14:textId="77777777" w:rsidR="00785FFC" w:rsidRPr="00D27EA1" w:rsidRDefault="00785FFC" w:rsidP="00276E8E">
      <w:pPr>
        <w:rPr>
          <w:iCs/>
          <w:lang w:val="fr-FR"/>
        </w:rPr>
      </w:pPr>
    </w:p>
    <w:p w14:paraId="2CBB6ED7" w14:textId="77777777" w:rsidR="00785FFC" w:rsidRPr="00D27EA1" w:rsidRDefault="00785FFC" w:rsidP="00276E8E">
      <w:pPr>
        <w:rPr>
          <w:iCs/>
          <w:lang w:val="fr-FR"/>
        </w:rPr>
      </w:pPr>
    </w:p>
    <w:p w14:paraId="04BEE04A" w14:textId="77777777" w:rsidR="00663316" w:rsidRPr="00D27EA1" w:rsidRDefault="00663316">
      <w:pPr>
        <w:rPr>
          <w:b/>
          <w:bCs/>
          <w:lang w:val="fr-FR"/>
        </w:rPr>
      </w:pPr>
      <w:r w:rsidRPr="00D27EA1">
        <w:rPr>
          <w:b/>
          <w:bCs/>
          <w:lang w:val="fr-FR"/>
        </w:rPr>
        <w:br w:type="page"/>
      </w:r>
    </w:p>
    <w:p w14:paraId="2D9806D3" w14:textId="4B5E46F8" w:rsidR="00785FFC" w:rsidRPr="00D27EA1" w:rsidRDefault="00785FFC" w:rsidP="00785FFC">
      <w:pPr>
        <w:spacing w:after="0"/>
        <w:rPr>
          <w:b/>
          <w:bCs/>
          <w:lang w:val="fr-FR"/>
        </w:rPr>
      </w:pPr>
      <w:r w:rsidRPr="00D27EA1">
        <w:rPr>
          <w:b/>
          <w:bCs/>
          <w:lang w:val="fr-FR"/>
        </w:rPr>
        <w:lastRenderedPageBreak/>
        <w:t>Annex</w:t>
      </w:r>
      <w:r w:rsidR="0041716A" w:rsidRPr="00D27EA1">
        <w:rPr>
          <w:b/>
          <w:bCs/>
          <w:lang w:val="fr-FR"/>
        </w:rPr>
        <w:t>e</w:t>
      </w:r>
      <w:r w:rsidRPr="00D27EA1">
        <w:rPr>
          <w:b/>
          <w:bCs/>
          <w:lang w:val="fr-FR"/>
        </w:rPr>
        <w:t xml:space="preserve"> </w:t>
      </w:r>
      <w:r w:rsidR="0041716A" w:rsidRPr="00D27EA1">
        <w:rPr>
          <w:b/>
          <w:bCs/>
          <w:lang w:val="fr-FR"/>
        </w:rPr>
        <w:t>2</w:t>
      </w:r>
      <w:r w:rsidRPr="00D27EA1">
        <w:rPr>
          <w:b/>
          <w:bCs/>
          <w:lang w:val="fr-FR"/>
        </w:rPr>
        <w:t xml:space="preserve">. </w:t>
      </w:r>
      <w:r w:rsidR="00B45A48" w:rsidRPr="00D27EA1">
        <w:rPr>
          <w:b/>
          <w:bCs/>
          <w:lang w:val="fr-FR"/>
        </w:rPr>
        <w:t xml:space="preserve">Carte des liens entre les indicateurs du </w:t>
      </w:r>
      <w:r w:rsidR="00405BFA" w:rsidRPr="00D27EA1">
        <w:rPr>
          <w:b/>
          <w:bCs/>
          <w:lang w:val="fr-FR"/>
        </w:rPr>
        <w:t>Partenariat</w:t>
      </w:r>
      <w:r w:rsidR="00B45A48" w:rsidRPr="00D27EA1">
        <w:rPr>
          <w:b/>
          <w:bCs/>
          <w:lang w:val="fr-FR"/>
        </w:rPr>
        <w:t xml:space="preserve"> de Busan et les </w:t>
      </w:r>
      <w:r w:rsidR="008F48D3" w:rsidRPr="00D27EA1">
        <w:rPr>
          <w:b/>
          <w:bCs/>
          <w:lang w:val="fr-FR"/>
        </w:rPr>
        <w:t>éventuels</w:t>
      </w:r>
      <w:r w:rsidR="00B45A48" w:rsidRPr="00D27EA1">
        <w:rPr>
          <w:b/>
          <w:bCs/>
          <w:lang w:val="fr-FR"/>
        </w:rPr>
        <w:t xml:space="preserve"> futurs indicateurs de IHP+</w:t>
      </w:r>
      <w:r w:rsidR="00D27EA1">
        <w:rPr>
          <w:b/>
          <w:bCs/>
          <w:lang w:val="fr-FR"/>
        </w:rPr>
        <w:t xml:space="preserve"> </w:t>
      </w:r>
    </w:p>
    <w:p w14:paraId="3C4A8E07" w14:textId="44E45AF6" w:rsidR="00785FFC" w:rsidRPr="00D27EA1" w:rsidRDefault="00B45A48" w:rsidP="00D27EA1">
      <w:pPr>
        <w:outlineLvl w:val="0"/>
        <w:rPr>
          <w:b/>
          <w:bCs/>
          <w:sz w:val="16"/>
          <w:szCs w:val="16"/>
          <w:lang w:val="fr-FR"/>
        </w:rPr>
      </w:pPr>
      <w:r w:rsidRPr="00D27EA1">
        <w:rPr>
          <w:i/>
          <w:iCs/>
          <w:sz w:val="16"/>
          <w:szCs w:val="16"/>
          <w:shd w:val="clear" w:color="auto" w:fill="C9DBFF"/>
          <w:lang w:val="fr-FR"/>
        </w:rPr>
        <w:t>Bleu pâle</w:t>
      </w:r>
      <w:r w:rsidR="00785FFC" w:rsidRPr="00D27EA1">
        <w:rPr>
          <w:i/>
          <w:iCs/>
          <w:sz w:val="16"/>
          <w:szCs w:val="16"/>
          <w:shd w:val="clear" w:color="auto" w:fill="C9DBFF"/>
          <w:lang w:val="fr-FR"/>
        </w:rPr>
        <w:t xml:space="preserve"> = </w:t>
      </w:r>
      <w:r w:rsidR="00405BFA" w:rsidRPr="00D27EA1">
        <w:rPr>
          <w:i/>
          <w:iCs/>
          <w:sz w:val="16"/>
          <w:szCs w:val="16"/>
          <w:shd w:val="clear" w:color="auto" w:fill="C9DBFF"/>
          <w:lang w:val="fr-FR"/>
        </w:rPr>
        <w:t>ancien</w:t>
      </w:r>
      <w:r w:rsidRPr="00D27EA1">
        <w:rPr>
          <w:i/>
          <w:iCs/>
          <w:sz w:val="16"/>
          <w:szCs w:val="16"/>
          <w:shd w:val="clear" w:color="auto" w:fill="C9DBFF"/>
          <w:lang w:val="fr-FR"/>
        </w:rPr>
        <w:t xml:space="preserve"> indicateur de Paris</w:t>
      </w:r>
      <w:r w:rsidR="00785FFC" w:rsidRPr="00D27EA1">
        <w:rPr>
          <w:i/>
          <w:iCs/>
          <w:sz w:val="16"/>
          <w:szCs w:val="16"/>
          <w:shd w:val="clear" w:color="auto" w:fill="C9DBFF"/>
          <w:lang w:val="fr-FR"/>
        </w:rPr>
        <w:t>;</w:t>
      </w:r>
      <w:r w:rsidR="00785FFC" w:rsidRPr="00D27EA1">
        <w:rPr>
          <w:i/>
          <w:iCs/>
          <w:sz w:val="16"/>
          <w:szCs w:val="16"/>
          <w:shd w:val="clear" w:color="auto" w:fill="B5EDB5"/>
          <w:lang w:val="fr-FR"/>
        </w:rPr>
        <w:t xml:space="preserve"> </w:t>
      </w:r>
      <w:r w:rsidRPr="00D27EA1">
        <w:rPr>
          <w:i/>
          <w:iCs/>
          <w:sz w:val="16"/>
          <w:szCs w:val="16"/>
          <w:shd w:val="clear" w:color="auto" w:fill="B5EDB5"/>
          <w:lang w:val="fr-FR"/>
        </w:rPr>
        <w:t xml:space="preserve">Vert pâle </w:t>
      </w:r>
      <w:r w:rsidR="00785FFC" w:rsidRPr="00D27EA1">
        <w:rPr>
          <w:i/>
          <w:iCs/>
          <w:sz w:val="16"/>
          <w:szCs w:val="16"/>
          <w:shd w:val="clear" w:color="auto" w:fill="B5EDB5"/>
          <w:lang w:val="fr-FR"/>
        </w:rPr>
        <w:t>=</w:t>
      </w:r>
      <w:r w:rsidR="00405BFA" w:rsidRPr="00D27EA1">
        <w:rPr>
          <w:i/>
          <w:iCs/>
          <w:sz w:val="16"/>
          <w:szCs w:val="16"/>
          <w:shd w:val="clear" w:color="auto" w:fill="B5EDB5"/>
          <w:lang w:val="fr-FR"/>
        </w:rPr>
        <w:t xml:space="preserve"> déjà suivi par </w:t>
      </w:r>
      <w:proofErr w:type="spellStart"/>
      <w:r w:rsidR="00405BFA" w:rsidRPr="00D27EA1">
        <w:rPr>
          <w:i/>
          <w:iCs/>
          <w:sz w:val="16"/>
          <w:szCs w:val="16"/>
          <w:shd w:val="clear" w:color="auto" w:fill="B5EDB5"/>
          <w:lang w:val="fr-FR"/>
        </w:rPr>
        <w:t>IHP+Results</w:t>
      </w:r>
      <w:proofErr w:type="spellEnd"/>
      <w:r w:rsidR="00D27EA1">
        <w:rPr>
          <w:i/>
          <w:iCs/>
          <w:sz w:val="16"/>
          <w:szCs w:val="16"/>
          <w:shd w:val="clear" w:color="auto" w:fill="B5EDB5"/>
          <w:lang w:val="fr-FR"/>
        </w:rPr>
        <w:t xml:space="preserve"> </w:t>
      </w:r>
    </w:p>
    <w:tbl>
      <w:tblPr>
        <w:tblStyle w:val="TableGrid1"/>
        <w:tblW w:w="0" w:type="auto"/>
        <w:tblLook w:val="04A0" w:firstRow="1" w:lastRow="0" w:firstColumn="1" w:lastColumn="0" w:noHBand="0" w:noVBand="1"/>
      </w:tblPr>
      <w:tblGrid>
        <w:gridCol w:w="2943"/>
        <w:gridCol w:w="2127"/>
        <w:gridCol w:w="2126"/>
        <w:gridCol w:w="2380"/>
      </w:tblGrid>
      <w:tr w:rsidR="00785FFC" w:rsidRPr="00D27EA1" w14:paraId="20924371" w14:textId="77777777" w:rsidTr="00BC2B3B">
        <w:tc>
          <w:tcPr>
            <w:tcW w:w="2943" w:type="dxa"/>
            <w:vMerge w:val="restart"/>
          </w:tcPr>
          <w:p w14:paraId="52903E77" w14:textId="0F70AAB1" w:rsidR="00785FFC" w:rsidRPr="00D27EA1" w:rsidRDefault="00246A5A" w:rsidP="00BC2B3B">
            <w:pPr>
              <w:spacing w:after="200" w:line="276" w:lineRule="auto"/>
              <w:jc w:val="center"/>
              <w:rPr>
                <w:rFonts w:ascii="Arial Narrow" w:hAnsi="Arial Narrow"/>
                <w:b/>
                <w:bCs/>
                <w:sz w:val="16"/>
                <w:szCs w:val="16"/>
                <w:lang w:val="fr-FR"/>
              </w:rPr>
            </w:pPr>
            <w:r w:rsidRPr="00D27EA1">
              <w:rPr>
                <w:rFonts w:ascii="Arial Narrow" w:hAnsi="Arial Narrow"/>
                <w:b/>
                <w:bCs/>
                <w:sz w:val="16"/>
                <w:szCs w:val="16"/>
                <w:lang w:val="fr-FR"/>
              </w:rPr>
              <w:t>Indicateurs agréés pour le suivi mondial dans le cadre du Partenariat de Busan pour une coopération efficace au service du développement</w:t>
            </w:r>
          </w:p>
        </w:tc>
        <w:tc>
          <w:tcPr>
            <w:tcW w:w="4253" w:type="dxa"/>
            <w:gridSpan w:val="2"/>
          </w:tcPr>
          <w:p w14:paraId="02B931ED" w14:textId="05F56BBA" w:rsidR="00785FFC" w:rsidRPr="00D27EA1" w:rsidRDefault="00E078AE" w:rsidP="00DB62C7">
            <w:pPr>
              <w:jc w:val="center"/>
              <w:rPr>
                <w:rFonts w:ascii="Arial Narrow" w:hAnsi="Arial Narrow"/>
                <w:b/>
                <w:bCs/>
                <w:sz w:val="16"/>
                <w:szCs w:val="16"/>
                <w:lang w:val="fr-FR"/>
              </w:rPr>
            </w:pPr>
            <w:r w:rsidRPr="00D27EA1">
              <w:rPr>
                <w:rFonts w:ascii="Arial Narrow" w:hAnsi="Arial Narrow"/>
                <w:b/>
                <w:bCs/>
                <w:sz w:val="16"/>
                <w:szCs w:val="16"/>
                <w:lang w:val="fr-FR"/>
              </w:rPr>
              <w:t>I</w:t>
            </w:r>
            <w:r w:rsidR="00785FFC" w:rsidRPr="00D27EA1">
              <w:rPr>
                <w:rFonts w:ascii="Arial Narrow" w:hAnsi="Arial Narrow"/>
                <w:b/>
                <w:bCs/>
                <w:sz w:val="16"/>
                <w:szCs w:val="16"/>
                <w:lang w:val="fr-FR"/>
              </w:rPr>
              <w:t>ndicat</w:t>
            </w:r>
            <w:r w:rsidRPr="00D27EA1">
              <w:rPr>
                <w:rFonts w:ascii="Arial Narrow" w:hAnsi="Arial Narrow"/>
                <w:b/>
                <w:bCs/>
                <w:sz w:val="16"/>
                <w:szCs w:val="16"/>
                <w:lang w:val="fr-FR"/>
              </w:rPr>
              <w:t>eur</w:t>
            </w:r>
            <w:r w:rsidR="00785FFC" w:rsidRPr="00D27EA1">
              <w:rPr>
                <w:rFonts w:ascii="Arial Narrow" w:hAnsi="Arial Narrow"/>
                <w:b/>
                <w:bCs/>
                <w:sz w:val="16"/>
                <w:szCs w:val="16"/>
                <w:lang w:val="fr-FR"/>
              </w:rPr>
              <w:t>s</w:t>
            </w:r>
            <w:r w:rsidRPr="00D27EA1">
              <w:rPr>
                <w:rFonts w:ascii="Arial Narrow" w:hAnsi="Arial Narrow"/>
                <w:b/>
                <w:bCs/>
                <w:sz w:val="16"/>
                <w:szCs w:val="16"/>
                <w:lang w:val="fr-FR"/>
              </w:rPr>
              <w:t xml:space="preserve"> </w:t>
            </w:r>
            <w:r w:rsidR="00B54563" w:rsidRPr="00D27EA1">
              <w:rPr>
                <w:rFonts w:ascii="Arial Narrow" w:hAnsi="Arial Narrow"/>
                <w:b/>
                <w:bCs/>
                <w:sz w:val="16"/>
                <w:szCs w:val="16"/>
                <w:lang w:val="fr-FR"/>
              </w:rPr>
              <w:t>éventuels</w:t>
            </w:r>
            <w:r w:rsidR="00785FFC" w:rsidRPr="00D27EA1">
              <w:rPr>
                <w:rFonts w:ascii="Arial Narrow" w:hAnsi="Arial Narrow"/>
                <w:b/>
                <w:bCs/>
                <w:sz w:val="16"/>
                <w:szCs w:val="16"/>
                <w:lang w:val="fr-FR"/>
              </w:rPr>
              <w:t xml:space="preserve"> </w:t>
            </w:r>
            <w:r w:rsidRPr="00D27EA1">
              <w:rPr>
                <w:rFonts w:ascii="Arial Narrow" w:hAnsi="Arial Narrow"/>
                <w:b/>
                <w:bCs/>
                <w:sz w:val="16"/>
                <w:szCs w:val="16"/>
                <w:lang w:val="fr-FR"/>
              </w:rPr>
              <w:t xml:space="preserve">pour </w:t>
            </w:r>
            <w:r w:rsidR="00B54563" w:rsidRPr="00D27EA1">
              <w:rPr>
                <w:rFonts w:ascii="Arial Narrow" w:hAnsi="Arial Narrow"/>
                <w:b/>
                <w:bCs/>
                <w:sz w:val="16"/>
                <w:szCs w:val="16"/>
                <w:lang w:val="fr-FR"/>
              </w:rPr>
              <w:t>le futur suivi exercé par IHP+</w:t>
            </w:r>
          </w:p>
        </w:tc>
        <w:tc>
          <w:tcPr>
            <w:tcW w:w="2380" w:type="dxa"/>
            <w:vMerge w:val="restart"/>
          </w:tcPr>
          <w:p w14:paraId="15BD0AA5" w14:textId="77777777" w:rsidR="00785FFC" w:rsidRPr="00D27EA1" w:rsidRDefault="00785FFC" w:rsidP="00BC2B3B">
            <w:pPr>
              <w:jc w:val="center"/>
              <w:rPr>
                <w:rFonts w:ascii="Arial Narrow" w:hAnsi="Arial Narrow"/>
                <w:b/>
                <w:bCs/>
                <w:sz w:val="16"/>
                <w:szCs w:val="16"/>
                <w:lang w:val="fr-FR"/>
              </w:rPr>
            </w:pPr>
          </w:p>
          <w:p w14:paraId="104E229B" w14:textId="333274E5" w:rsidR="00785FFC" w:rsidRPr="00D27EA1" w:rsidRDefault="00785FFC" w:rsidP="00BC2B3B">
            <w:pPr>
              <w:spacing w:after="200" w:line="276" w:lineRule="auto"/>
              <w:jc w:val="center"/>
              <w:rPr>
                <w:rFonts w:ascii="Arial Narrow" w:hAnsi="Arial Narrow"/>
                <w:b/>
                <w:bCs/>
                <w:sz w:val="16"/>
                <w:szCs w:val="16"/>
                <w:lang w:val="fr-FR"/>
              </w:rPr>
            </w:pPr>
            <w:r w:rsidRPr="00D27EA1">
              <w:rPr>
                <w:rFonts w:ascii="Arial Narrow" w:hAnsi="Arial Narrow"/>
                <w:b/>
                <w:bCs/>
                <w:sz w:val="16"/>
                <w:szCs w:val="16"/>
                <w:lang w:val="fr-FR"/>
              </w:rPr>
              <w:t>Ra</w:t>
            </w:r>
            <w:r w:rsidR="00246A5A" w:rsidRPr="00D27EA1">
              <w:rPr>
                <w:rFonts w:ascii="Arial Narrow" w:hAnsi="Arial Narrow"/>
                <w:b/>
                <w:bCs/>
                <w:sz w:val="16"/>
                <w:szCs w:val="16"/>
                <w:lang w:val="fr-FR"/>
              </w:rPr>
              <w:t>i</w:t>
            </w:r>
            <w:r w:rsidRPr="00D27EA1">
              <w:rPr>
                <w:rFonts w:ascii="Arial Narrow" w:hAnsi="Arial Narrow"/>
                <w:b/>
                <w:bCs/>
                <w:sz w:val="16"/>
                <w:szCs w:val="16"/>
                <w:lang w:val="fr-FR"/>
              </w:rPr>
              <w:t>sons/justification</w:t>
            </w:r>
          </w:p>
        </w:tc>
      </w:tr>
      <w:tr w:rsidR="00785FFC" w:rsidRPr="00D27EA1" w14:paraId="5DF2DD83" w14:textId="77777777" w:rsidTr="00BC2B3B">
        <w:tc>
          <w:tcPr>
            <w:tcW w:w="2943" w:type="dxa"/>
            <w:vMerge/>
            <w:tcBorders>
              <w:bottom w:val="single" w:sz="4" w:space="0" w:color="auto"/>
            </w:tcBorders>
          </w:tcPr>
          <w:p w14:paraId="26320332" w14:textId="77777777" w:rsidR="00785FFC" w:rsidRPr="00D27EA1" w:rsidRDefault="00785FFC" w:rsidP="00BC2B3B">
            <w:pPr>
              <w:rPr>
                <w:rFonts w:ascii="Arial Narrow" w:hAnsi="Arial Narrow"/>
                <w:sz w:val="15"/>
                <w:szCs w:val="15"/>
                <w:lang w:val="fr-FR"/>
              </w:rPr>
            </w:pPr>
          </w:p>
        </w:tc>
        <w:tc>
          <w:tcPr>
            <w:tcW w:w="2127" w:type="dxa"/>
            <w:tcBorders>
              <w:bottom w:val="single" w:sz="4" w:space="0" w:color="auto"/>
            </w:tcBorders>
          </w:tcPr>
          <w:p w14:paraId="67B15108" w14:textId="6D2F56C0" w:rsidR="00785FFC" w:rsidRPr="00D27EA1" w:rsidRDefault="00785FFC" w:rsidP="00BC2B3B">
            <w:pPr>
              <w:spacing w:after="200" w:line="276" w:lineRule="auto"/>
              <w:jc w:val="center"/>
              <w:rPr>
                <w:rFonts w:ascii="Arial Narrow" w:hAnsi="Arial Narrow"/>
                <w:b/>
                <w:bCs/>
                <w:sz w:val="16"/>
                <w:szCs w:val="16"/>
                <w:lang w:val="fr-FR"/>
              </w:rPr>
            </w:pPr>
            <w:r w:rsidRPr="00D27EA1">
              <w:rPr>
                <w:rFonts w:ascii="Arial Narrow" w:hAnsi="Arial Narrow"/>
                <w:b/>
                <w:bCs/>
                <w:sz w:val="16"/>
                <w:szCs w:val="16"/>
                <w:lang w:val="fr-FR"/>
              </w:rPr>
              <w:t>Go</w:t>
            </w:r>
            <w:r w:rsidR="00246A5A" w:rsidRPr="00D27EA1">
              <w:rPr>
                <w:rFonts w:ascii="Arial Narrow" w:hAnsi="Arial Narrow"/>
                <w:b/>
                <w:bCs/>
                <w:sz w:val="16"/>
                <w:szCs w:val="16"/>
                <w:lang w:val="fr-FR"/>
              </w:rPr>
              <w:t>u</w:t>
            </w:r>
            <w:r w:rsidRPr="00D27EA1">
              <w:rPr>
                <w:rFonts w:ascii="Arial Narrow" w:hAnsi="Arial Narrow"/>
                <w:b/>
                <w:bCs/>
                <w:sz w:val="16"/>
                <w:szCs w:val="16"/>
                <w:lang w:val="fr-FR"/>
              </w:rPr>
              <w:t>vern</w:t>
            </w:r>
            <w:r w:rsidR="00246A5A" w:rsidRPr="00D27EA1">
              <w:rPr>
                <w:rFonts w:ascii="Arial Narrow" w:hAnsi="Arial Narrow"/>
                <w:b/>
                <w:bCs/>
                <w:sz w:val="16"/>
                <w:szCs w:val="16"/>
                <w:lang w:val="fr-FR"/>
              </w:rPr>
              <w:t>e</w:t>
            </w:r>
            <w:r w:rsidRPr="00D27EA1">
              <w:rPr>
                <w:rFonts w:ascii="Arial Narrow" w:hAnsi="Arial Narrow"/>
                <w:b/>
                <w:bCs/>
                <w:sz w:val="16"/>
                <w:szCs w:val="16"/>
                <w:lang w:val="fr-FR"/>
              </w:rPr>
              <w:t>ment</w:t>
            </w:r>
          </w:p>
        </w:tc>
        <w:tc>
          <w:tcPr>
            <w:tcW w:w="2126" w:type="dxa"/>
            <w:tcBorders>
              <w:bottom w:val="single" w:sz="4" w:space="0" w:color="auto"/>
            </w:tcBorders>
          </w:tcPr>
          <w:p w14:paraId="187E7EC5" w14:textId="4C7ABD8A" w:rsidR="00785FFC" w:rsidRPr="00D27EA1" w:rsidRDefault="00246A5A" w:rsidP="00BC2B3B">
            <w:pPr>
              <w:spacing w:after="200" w:line="276" w:lineRule="auto"/>
              <w:jc w:val="center"/>
              <w:rPr>
                <w:rFonts w:ascii="Arial Narrow" w:hAnsi="Arial Narrow"/>
                <w:b/>
                <w:bCs/>
                <w:sz w:val="16"/>
                <w:szCs w:val="16"/>
                <w:lang w:val="fr-FR"/>
              </w:rPr>
            </w:pPr>
            <w:r w:rsidRPr="00D27EA1">
              <w:rPr>
                <w:rFonts w:ascii="Arial Narrow" w:hAnsi="Arial Narrow"/>
                <w:b/>
                <w:bCs/>
                <w:sz w:val="16"/>
                <w:szCs w:val="16"/>
                <w:lang w:val="fr-FR"/>
              </w:rPr>
              <w:t>P</w:t>
            </w:r>
            <w:r w:rsidR="00785FFC" w:rsidRPr="00D27EA1">
              <w:rPr>
                <w:rFonts w:ascii="Arial Narrow" w:hAnsi="Arial Narrow"/>
                <w:b/>
                <w:bCs/>
                <w:sz w:val="16"/>
                <w:szCs w:val="16"/>
                <w:lang w:val="fr-FR"/>
              </w:rPr>
              <w:t>art</w:t>
            </w:r>
            <w:r w:rsidRPr="00D27EA1">
              <w:rPr>
                <w:rFonts w:ascii="Arial Narrow" w:hAnsi="Arial Narrow"/>
                <w:b/>
                <w:bCs/>
                <w:sz w:val="16"/>
                <w:szCs w:val="16"/>
                <w:lang w:val="fr-FR"/>
              </w:rPr>
              <w:t>e</w:t>
            </w:r>
            <w:r w:rsidR="00785FFC" w:rsidRPr="00D27EA1">
              <w:rPr>
                <w:rFonts w:ascii="Arial Narrow" w:hAnsi="Arial Narrow"/>
                <w:b/>
                <w:bCs/>
                <w:sz w:val="16"/>
                <w:szCs w:val="16"/>
                <w:lang w:val="fr-FR"/>
              </w:rPr>
              <w:t>n</w:t>
            </w:r>
            <w:r w:rsidRPr="00D27EA1">
              <w:rPr>
                <w:rFonts w:ascii="Arial Narrow" w:hAnsi="Arial Narrow"/>
                <w:b/>
                <w:bCs/>
                <w:sz w:val="16"/>
                <w:szCs w:val="16"/>
                <w:lang w:val="fr-FR"/>
              </w:rPr>
              <w:t>aire</w:t>
            </w:r>
            <w:r w:rsidR="00785FFC" w:rsidRPr="00D27EA1">
              <w:rPr>
                <w:rFonts w:ascii="Arial Narrow" w:hAnsi="Arial Narrow"/>
                <w:b/>
                <w:bCs/>
                <w:sz w:val="16"/>
                <w:szCs w:val="16"/>
                <w:lang w:val="fr-FR"/>
              </w:rPr>
              <w:t>s</w:t>
            </w:r>
            <w:r w:rsidRPr="00D27EA1">
              <w:rPr>
                <w:rFonts w:ascii="Arial Narrow" w:hAnsi="Arial Narrow"/>
                <w:b/>
                <w:bCs/>
                <w:sz w:val="16"/>
                <w:szCs w:val="16"/>
                <w:lang w:val="fr-FR"/>
              </w:rPr>
              <w:t xml:space="preserve"> du Développement</w:t>
            </w:r>
          </w:p>
        </w:tc>
        <w:tc>
          <w:tcPr>
            <w:tcW w:w="2380" w:type="dxa"/>
            <w:vMerge/>
          </w:tcPr>
          <w:p w14:paraId="47D1FD65" w14:textId="77777777" w:rsidR="00785FFC" w:rsidRPr="00D27EA1" w:rsidRDefault="00785FFC" w:rsidP="00BC2B3B">
            <w:pPr>
              <w:rPr>
                <w:rFonts w:ascii="Arial Narrow" w:hAnsi="Arial Narrow"/>
                <w:sz w:val="15"/>
                <w:szCs w:val="15"/>
                <w:lang w:val="fr-FR"/>
              </w:rPr>
            </w:pPr>
          </w:p>
        </w:tc>
      </w:tr>
      <w:tr w:rsidR="00785FFC" w:rsidRPr="004545B0" w14:paraId="302792BD" w14:textId="77777777" w:rsidTr="00D27EA1">
        <w:trPr>
          <w:trHeight w:val="1188"/>
        </w:trPr>
        <w:tc>
          <w:tcPr>
            <w:tcW w:w="2943" w:type="dxa"/>
            <w:shd w:val="clear" w:color="auto" w:fill="C9DBFF"/>
          </w:tcPr>
          <w:p w14:paraId="4928D1EA" w14:textId="1BC636AB" w:rsidR="00785FFC" w:rsidRPr="00D27EA1" w:rsidRDefault="00785FFC" w:rsidP="00BC2B3B">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b/>
                <w:bCs/>
                <w:color w:val="000000"/>
                <w:sz w:val="15"/>
                <w:szCs w:val="15"/>
                <w:lang w:val="fr-FR"/>
              </w:rPr>
              <w:t xml:space="preserve">1. </w:t>
            </w:r>
            <w:r w:rsidR="00663316" w:rsidRPr="00D27EA1">
              <w:rPr>
                <w:rFonts w:ascii="Arial Narrow" w:hAnsi="Arial Narrow" w:cs="Arial"/>
                <w:b/>
                <w:bCs/>
                <w:color w:val="000000"/>
                <w:sz w:val="15"/>
                <w:szCs w:val="15"/>
                <w:lang w:val="fr-FR"/>
              </w:rPr>
              <w:t xml:space="preserve">La </w:t>
            </w:r>
            <w:r w:rsidR="00DB1B28" w:rsidRPr="00D27EA1">
              <w:rPr>
                <w:rFonts w:ascii="Arial Narrow" w:hAnsi="Arial Narrow" w:cs="Arial"/>
                <w:b/>
                <w:bCs/>
                <w:color w:val="000000"/>
                <w:sz w:val="15"/>
                <w:szCs w:val="15"/>
                <w:lang w:val="fr-FR"/>
              </w:rPr>
              <w:t>coopération</w:t>
            </w:r>
            <w:r w:rsidR="00663316" w:rsidRPr="00D27EA1">
              <w:rPr>
                <w:rFonts w:ascii="Arial Narrow" w:hAnsi="Arial Narrow" w:cs="Arial"/>
                <w:b/>
                <w:bCs/>
                <w:color w:val="000000"/>
                <w:sz w:val="15"/>
                <w:szCs w:val="15"/>
                <w:lang w:val="fr-FR"/>
              </w:rPr>
              <w:t xml:space="preserve"> pour le développement se concentre sur les </w:t>
            </w:r>
            <w:r w:rsidR="00DB1B28" w:rsidRPr="00D27EA1">
              <w:rPr>
                <w:rFonts w:ascii="Arial Narrow" w:hAnsi="Arial Narrow" w:cs="Arial"/>
                <w:b/>
                <w:bCs/>
                <w:color w:val="000000"/>
                <w:sz w:val="15"/>
                <w:szCs w:val="15"/>
                <w:lang w:val="fr-FR"/>
              </w:rPr>
              <w:t>résultats</w:t>
            </w:r>
            <w:r w:rsidR="00663316" w:rsidRPr="00D27EA1">
              <w:rPr>
                <w:rFonts w:ascii="Arial Narrow" w:hAnsi="Arial Narrow" w:cs="Arial"/>
                <w:b/>
                <w:bCs/>
                <w:color w:val="000000"/>
                <w:sz w:val="15"/>
                <w:szCs w:val="15"/>
                <w:lang w:val="fr-FR"/>
              </w:rPr>
              <w:t xml:space="preserve"> qui </w:t>
            </w:r>
            <w:r w:rsidR="00DB1B28" w:rsidRPr="00D27EA1">
              <w:rPr>
                <w:rFonts w:ascii="Arial Narrow" w:hAnsi="Arial Narrow" w:cs="Arial"/>
                <w:b/>
                <w:bCs/>
                <w:color w:val="000000"/>
                <w:sz w:val="15"/>
                <w:szCs w:val="15"/>
                <w:lang w:val="fr-FR"/>
              </w:rPr>
              <w:t>répondent</w:t>
            </w:r>
            <w:r w:rsidR="00663316" w:rsidRPr="00D27EA1">
              <w:rPr>
                <w:rFonts w:ascii="Arial Narrow" w:hAnsi="Arial Narrow" w:cs="Arial"/>
                <w:b/>
                <w:bCs/>
                <w:color w:val="000000"/>
                <w:sz w:val="15"/>
                <w:szCs w:val="15"/>
                <w:lang w:val="fr-FR"/>
              </w:rPr>
              <w:t xml:space="preserve"> aux </w:t>
            </w:r>
            <w:r w:rsidR="00DB1B28" w:rsidRPr="00D27EA1">
              <w:rPr>
                <w:rFonts w:ascii="Arial Narrow" w:hAnsi="Arial Narrow" w:cs="Arial"/>
                <w:b/>
                <w:bCs/>
                <w:color w:val="000000"/>
                <w:sz w:val="15"/>
                <w:szCs w:val="15"/>
                <w:lang w:val="fr-FR"/>
              </w:rPr>
              <w:t>priorités</w:t>
            </w:r>
            <w:r w:rsidR="00663316" w:rsidRPr="00D27EA1">
              <w:rPr>
                <w:rFonts w:ascii="Arial Narrow" w:hAnsi="Arial Narrow" w:cs="Arial"/>
                <w:b/>
                <w:bCs/>
                <w:color w:val="000000"/>
                <w:sz w:val="15"/>
                <w:szCs w:val="15"/>
                <w:lang w:val="fr-FR"/>
              </w:rPr>
              <w:t xml:space="preserve"> des pays en </w:t>
            </w:r>
            <w:r w:rsidR="00DB1B28" w:rsidRPr="00D27EA1">
              <w:rPr>
                <w:rFonts w:ascii="Arial Narrow" w:hAnsi="Arial Narrow" w:cs="Arial"/>
                <w:b/>
                <w:bCs/>
                <w:color w:val="000000"/>
                <w:sz w:val="15"/>
                <w:szCs w:val="15"/>
                <w:lang w:val="fr-FR"/>
              </w:rPr>
              <w:t xml:space="preserve">développement </w:t>
            </w:r>
          </w:p>
          <w:p w14:paraId="3E09EA5B" w14:textId="1A474512" w:rsidR="00785FFC" w:rsidRPr="00D27EA1" w:rsidRDefault="00DB1B28" w:rsidP="00D27EA1">
            <w:pPr>
              <w:autoSpaceDE w:val="0"/>
              <w:autoSpaceDN w:val="0"/>
              <w:adjustRightInd w:val="0"/>
              <w:spacing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Degré</w:t>
            </w:r>
            <w:r w:rsidR="00663316" w:rsidRPr="00D27EA1">
              <w:rPr>
                <w:rFonts w:ascii="Arial Narrow" w:hAnsi="Arial Narrow" w:cs="Arial" w:hint="cs"/>
                <w:color w:val="000000"/>
                <w:sz w:val="15"/>
                <w:szCs w:val="15"/>
                <w:lang w:val="fr-FR"/>
              </w:rPr>
              <w:t>́</w:t>
            </w:r>
            <w:r w:rsidR="00663316" w:rsidRPr="00D27EA1">
              <w:rPr>
                <w:rFonts w:ascii="Arial Narrow" w:hAnsi="Arial Narrow" w:cs="Arial"/>
                <w:color w:val="000000"/>
                <w:sz w:val="15"/>
                <w:szCs w:val="15"/>
                <w:lang w:val="fr-FR"/>
              </w:rPr>
              <w:t xml:space="preserve"> d’utilisation des cadres de </w:t>
            </w:r>
            <w:r w:rsidRPr="00D27EA1">
              <w:rPr>
                <w:rFonts w:ascii="Arial Narrow" w:hAnsi="Arial Narrow" w:cs="Arial"/>
                <w:color w:val="000000"/>
                <w:sz w:val="15"/>
                <w:szCs w:val="15"/>
                <w:lang w:val="fr-FR"/>
              </w:rPr>
              <w:t>résultats</w:t>
            </w:r>
            <w:r w:rsidR="00663316" w:rsidRPr="00D27EA1">
              <w:rPr>
                <w:rFonts w:ascii="Arial Narrow" w:hAnsi="Arial Narrow" w:cs="Arial"/>
                <w:color w:val="000000"/>
                <w:sz w:val="15"/>
                <w:szCs w:val="15"/>
                <w:lang w:val="fr-FR"/>
              </w:rPr>
              <w:t xml:space="preserve"> nationaux par les fournisseurs de </w:t>
            </w:r>
            <w:r w:rsidRPr="00D27EA1">
              <w:rPr>
                <w:rFonts w:ascii="Arial Narrow" w:hAnsi="Arial Narrow" w:cs="Arial"/>
                <w:color w:val="000000"/>
                <w:sz w:val="15"/>
                <w:szCs w:val="15"/>
                <w:lang w:val="fr-FR"/>
              </w:rPr>
              <w:t>coopération</w:t>
            </w:r>
            <w:r w:rsidR="00785FFC" w:rsidRPr="00D27EA1">
              <w:rPr>
                <w:rFonts w:ascii="Arial Narrow" w:hAnsi="Arial Narrow" w:cs="Arial"/>
                <w:color w:val="000000"/>
                <w:sz w:val="15"/>
                <w:szCs w:val="15"/>
                <w:lang w:val="fr-FR"/>
              </w:rPr>
              <w:t xml:space="preserve">. </w:t>
            </w:r>
          </w:p>
        </w:tc>
        <w:tc>
          <w:tcPr>
            <w:tcW w:w="2127" w:type="dxa"/>
            <w:tcBorders>
              <w:bottom w:val="single" w:sz="4" w:space="0" w:color="auto"/>
            </w:tcBorders>
            <w:shd w:val="clear" w:color="auto" w:fill="B5EDB5"/>
          </w:tcPr>
          <w:p w14:paraId="1D707190" w14:textId="3154F967" w:rsidR="00785FFC" w:rsidRPr="00D27EA1" w:rsidRDefault="00E078AE" w:rsidP="00BC2B3B">
            <w:pPr>
              <w:spacing w:after="200" w:line="276" w:lineRule="auto"/>
              <w:rPr>
                <w:rFonts w:ascii="Arial Narrow" w:hAnsi="Arial Narrow"/>
                <w:sz w:val="15"/>
                <w:szCs w:val="15"/>
                <w:lang w:val="fr-FR"/>
              </w:rPr>
            </w:pPr>
            <w:r w:rsidRPr="00D27EA1">
              <w:rPr>
                <w:rFonts w:ascii="Arial Narrow" w:hAnsi="Arial Narrow"/>
                <w:sz w:val="15"/>
                <w:szCs w:val="15"/>
                <w:lang w:val="fr-FR"/>
              </w:rPr>
              <w:t xml:space="preserve">Un </w:t>
            </w:r>
            <w:r w:rsidRPr="00D27EA1">
              <w:rPr>
                <w:rFonts w:ascii="Arial Narrow" w:hAnsi="Arial Narrow"/>
                <w:b/>
                <w:sz w:val="15"/>
                <w:szCs w:val="15"/>
                <w:lang w:val="fr-FR"/>
              </w:rPr>
              <w:t>cadre d’évaluation de la performance</w:t>
            </w:r>
            <w:r w:rsidRPr="00D27EA1">
              <w:rPr>
                <w:rFonts w:ascii="Arial Narrow" w:hAnsi="Arial Narrow"/>
                <w:sz w:val="15"/>
                <w:szCs w:val="15"/>
                <w:lang w:val="fr-FR"/>
              </w:rPr>
              <w:t xml:space="preserve"> convenu, transparent et vérifiable </w:t>
            </w:r>
            <w:r w:rsidR="00A23CF4" w:rsidRPr="00D27EA1">
              <w:rPr>
                <w:rFonts w:ascii="Arial Narrow" w:hAnsi="Arial Narrow"/>
                <w:sz w:val="15"/>
                <w:szCs w:val="15"/>
                <w:lang w:val="fr-FR"/>
              </w:rPr>
              <w:t xml:space="preserve">est </w:t>
            </w:r>
            <w:r w:rsidRPr="00D27EA1">
              <w:rPr>
                <w:rFonts w:ascii="Arial Narrow" w:hAnsi="Arial Narrow"/>
                <w:sz w:val="15"/>
                <w:szCs w:val="15"/>
                <w:lang w:val="fr-FR"/>
              </w:rPr>
              <w:t xml:space="preserve">utilisé pour évaluer les progrès </w:t>
            </w:r>
            <w:r w:rsidR="0064531A" w:rsidRPr="00D27EA1">
              <w:rPr>
                <w:rFonts w:ascii="Arial Narrow" w:hAnsi="Arial Narrow"/>
                <w:sz w:val="15"/>
                <w:szCs w:val="15"/>
                <w:lang w:val="fr-FR"/>
              </w:rPr>
              <w:t xml:space="preserve">réalisés </w:t>
            </w:r>
            <w:r w:rsidRPr="00D27EA1">
              <w:rPr>
                <w:rFonts w:ascii="Arial Narrow" w:hAnsi="Arial Narrow"/>
                <w:sz w:val="15"/>
                <w:szCs w:val="15"/>
                <w:lang w:val="fr-FR"/>
              </w:rPr>
              <w:t xml:space="preserve">dans le secteur de la santé </w:t>
            </w:r>
          </w:p>
        </w:tc>
        <w:tc>
          <w:tcPr>
            <w:tcW w:w="2126" w:type="dxa"/>
            <w:tcBorders>
              <w:bottom w:val="single" w:sz="4" w:space="0" w:color="auto"/>
            </w:tcBorders>
            <w:shd w:val="clear" w:color="auto" w:fill="B5EDB5"/>
          </w:tcPr>
          <w:p w14:paraId="7DC1663E" w14:textId="64B3B570" w:rsidR="00785FFC" w:rsidRPr="00D27EA1" w:rsidRDefault="00785FFC" w:rsidP="00DB62C7">
            <w:pPr>
              <w:rPr>
                <w:rFonts w:ascii="Arial Narrow" w:hAnsi="Arial Narrow"/>
                <w:sz w:val="15"/>
                <w:szCs w:val="15"/>
                <w:lang w:val="fr-FR"/>
              </w:rPr>
            </w:pPr>
            <w:r w:rsidRPr="00D27EA1">
              <w:rPr>
                <w:rFonts w:ascii="Arial Narrow" w:hAnsi="Arial Narrow"/>
                <w:sz w:val="15"/>
                <w:szCs w:val="15"/>
                <w:lang w:val="fr-FR"/>
              </w:rPr>
              <w:t xml:space="preserve">% </w:t>
            </w:r>
            <w:r w:rsidR="00E078AE" w:rsidRPr="00D27EA1">
              <w:rPr>
                <w:rFonts w:ascii="Arial Narrow" w:hAnsi="Arial Narrow"/>
                <w:sz w:val="15"/>
                <w:szCs w:val="15"/>
                <w:lang w:val="fr-FR"/>
              </w:rPr>
              <w:t xml:space="preserve">des pays dans lesquels des </w:t>
            </w:r>
            <w:r w:rsidR="00E078AE" w:rsidRPr="00D27EA1">
              <w:rPr>
                <w:rFonts w:ascii="Arial Narrow" w:hAnsi="Arial Narrow"/>
                <w:b/>
                <w:sz w:val="15"/>
                <w:szCs w:val="15"/>
                <w:lang w:val="fr-FR"/>
              </w:rPr>
              <w:t>cadres d’évaluation de la performance</w:t>
            </w:r>
            <w:r w:rsidR="00E078AE" w:rsidRPr="00D27EA1">
              <w:rPr>
                <w:rFonts w:ascii="Arial Narrow" w:hAnsi="Arial Narrow"/>
                <w:sz w:val="15"/>
                <w:szCs w:val="15"/>
                <w:lang w:val="fr-FR"/>
              </w:rPr>
              <w:t xml:space="preserve"> convenus, transparents et vérifiables sont </w:t>
            </w:r>
            <w:r w:rsidR="00343093" w:rsidRPr="00D27EA1">
              <w:rPr>
                <w:rFonts w:ascii="Arial Narrow" w:hAnsi="Arial Narrow"/>
                <w:sz w:val="15"/>
                <w:szCs w:val="15"/>
                <w:lang w:val="fr-FR"/>
              </w:rPr>
              <w:t>utilisés</w:t>
            </w:r>
            <w:r w:rsidR="00E078AE" w:rsidRPr="00D27EA1">
              <w:rPr>
                <w:rFonts w:ascii="Arial Narrow" w:hAnsi="Arial Narrow"/>
                <w:sz w:val="15"/>
                <w:szCs w:val="15"/>
                <w:lang w:val="fr-FR"/>
              </w:rPr>
              <w:t xml:space="preserve"> pour </w:t>
            </w:r>
            <w:r w:rsidR="00343093" w:rsidRPr="00D27EA1">
              <w:rPr>
                <w:rFonts w:ascii="Arial Narrow" w:hAnsi="Arial Narrow"/>
                <w:sz w:val="15"/>
                <w:szCs w:val="15"/>
                <w:lang w:val="fr-FR"/>
              </w:rPr>
              <w:t>évaluer</w:t>
            </w:r>
            <w:r w:rsidR="00E078AE" w:rsidRPr="00D27EA1">
              <w:rPr>
                <w:rFonts w:ascii="Arial Narrow" w:hAnsi="Arial Narrow"/>
                <w:sz w:val="15"/>
                <w:szCs w:val="15"/>
                <w:lang w:val="fr-FR"/>
              </w:rPr>
              <w:t xml:space="preserve"> les </w:t>
            </w:r>
            <w:r w:rsidR="00343093" w:rsidRPr="00D27EA1">
              <w:rPr>
                <w:rFonts w:ascii="Arial Narrow" w:hAnsi="Arial Narrow"/>
                <w:sz w:val="15"/>
                <w:szCs w:val="15"/>
                <w:lang w:val="fr-FR"/>
              </w:rPr>
              <w:t>progrès</w:t>
            </w:r>
            <w:r w:rsidR="00E078AE" w:rsidRPr="00D27EA1">
              <w:rPr>
                <w:rFonts w:ascii="Arial Narrow" w:hAnsi="Arial Narrow"/>
                <w:sz w:val="15"/>
                <w:szCs w:val="15"/>
                <w:lang w:val="fr-FR"/>
              </w:rPr>
              <w:t xml:space="preserve"> </w:t>
            </w:r>
            <w:r w:rsidR="0064531A" w:rsidRPr="00D27EA1">
              <w:rPr>
                <w:rFonts w:ascii="Arial Narrow" w:hAnsi="Arial Narrow"/>
                <w:sz w:val="15"/>
                <w:szCs w:val="15"/>
                <w:lang w:val="fr-FR"/>
              </w:rPr>
              <w:t xml:space="preserve">réalisés </w:t>
            </w:r>
            <w:r w:rsidR="00E078AE" w:rsidRPr="00D27EA1">
              <w:rPr>
                <w:rFonts w:ascii="Arial Narrow" w:hAnsi="Arial Narrow"/>
                <w:sz w:val="15"/>
                <w:szCs w:val="15"/>
                <w:lang w:val="fr-FR"/>
              </w:rPr>
              <w:t xml:space="preserve">dans le secteur de la santé </w:t>
            </w:r>
          </w:p>
        </w:tc>
        <w:tc>
          <w:tcPr>
            <w:tcW w:w="2380" w:type="dxa"/>
          </w:tcPr>
          <w:p w14:paraId="7F7C5CEB" w14:textId="35C0591C" w:rsidR="00785FFC" w:rsidRPr="00D27EA1" w:rsidRDefault="00E039BA"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Un indicateur pour Paris et Busan et un indicateur utilisé par </w:t>
            </w:r>
            <w:proofErr w:type="spellStart"/>
            <w:r w:rsidR="00785FFC" w:rsidRPr="00D27EA1">
              <w:rPr>
                <w:rFonts w:ascii="Arial Narrow" w:hAnsi="Arial Narrow"/>
                <w:sz w:val="15"/>
                <w:szCs w:val="15"/>
                <w:lang w:val="fr-FR"/>
              </w:rPr>
              <w:t>IHP</w:t>
            </w:r>
            <w:r w:rsidRPr="00D27EA1">
              <w:rPr>
                <w:rFonts w:ascii="Arial Narrow" w:hAnsi="Arial Narrow"/>
                <w:sz w:val="15"/>
                <w:szCs w:val="15"/>
                <w:lang w:val="fr-FR"/>
              </w:rPr>
              <w:t>+</w:t>
            </w:r>
            <w:r w:rsidR="00785FFC" w:rsidRPr="00D27EA1">
              <w:rPr>
                <w:rFonts w:ascii="Arial Narrow" w:hAnsi="Arial Narrow"/>
                <w:sz w:val="15"/>
                <w:szCs w:val="15"/>
                <w:lang w:val="fr-FR"/>
              </w:rPr>
              <w:t>Results</w:t>
            </w:r>
            <w:proofErr w:type="spellEnd"/>
            <w:r w:rsidR="00785FFC" w:rsidRPr="00D27EA1">
              <w:rPr>
                <w:rFonts w:ascii="Arial Narrow" w:hAnsi="Arial Narrow"/>
                <w:sz w:val="15"/>
                <w:szCs w:val="15"/>
                <w:lang w:val="fr-FR"/>
              </w:rPr>
              <w:t xml:space="preserve"> </w:t>
            </w:r>
          </w:p>
          <w:p w14:paraId="6105A213" w14:textId="2F275313" w:rsidR="00785FFC" w:rsidRPr="00D27EA1" w:rsidRDefault="00B879EA" w:rsidP="009F196A">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Les données </w:t>
            </w:r>
            <w:r w:rsidR="007D2F1A" w:rsidRPr="00D27EA1">
              <w:rPr>
                <w:rFonts w:ascii="Arial Narrow" w:hAnsi="Arial Narrow"/>
                <w:sz w:val="15"/>
                <w:szCs w:val="15"/>
                <w:lang w:val="fr-FR"/>
              </w:rPr>
              <w:t>relatives aux</w:t>
            </w:r>
            <w:r w:rsidRPr="00D27EA1">
              <w:rPr>
                <w:rFonts w:ascii="Arial Narrow" w:hAnsi="Arial Narrow"/>
                <w:sz w:val="15"/>
                <w:szCs w:val="15"/>
                <w:lang w:val="fr-FR"/>
              </w:rPr>
              <w:t xml:space="preserve"> tendance</w:t>
            </w:r>
            <w:r w:rsidR="007D2F1A" w:rsidRPr="00D27EA1">
              <w:rPr>
                <w:rFonts w:ascii="Arial Narrow" w:hAnsi="Arial Narrow"/>
                <w:sz w:val="15"/>
                <w:szCs w:val="15"/>
                <w:lang w:val="fr-FR"/>
              </w:rPr>
              <w:t>s</w:t>
            </w:r>
            <w:r w:rsidRPr="00D27EA1">
              <w:rPr>
                <w:rFonts w:ascii="Arial Narrow" w:hAnsi="Arial Narrow"/>
                <w:sz w:val="15"/>
                <w:szCs w:val="15"/>
                <w:lang w:val="fr-FR"/>
              </w:rPr>
              <w:t xml:space="preserve"> sont déjà disponibles pour la moitié des signataires du IHP+ </w:t>
            </w:r>
          </w:p>
        </w:tc>
      </w:tr>
      <w:tr w:rsidR="00785FFC" w:rsidRPr="004545B0" w14:paraId="6B2C6A64" w14:textId="77777777" w:rsidTr="00BC2B3B">
        <w:tc>
          <w:tcPr>
            <w:tcW w:w="2943" w:type="dxa"/>
          </w:tcPr>
          <w:p w14:paraId="79351C59" w14:textId="38A7EBC6" w:rsidR="00785FFC" w:rsidRPr="00D27EA1" w:rsidRDefault="00785FFC" w:rsidP="00BC2B3B">
            <w:pPr>
              <w:spacing w:after="120" w:line="276" w:lineRule="auto"/>
              <w:rPr>
                <w:rFonts w:ascii="Arial Narrow" w:hAnsi="Arial Narrow" w:cs="Arial"/>
                <w:b/>
                <w:bCs/>
                <w:color w:val="000000"/>
                <w:sz w:val="15"/>
                <w:szCs w:val="15"/>
                <w:lang w:val="fr-FR"/>
              </w:rPr>
            </w:pPr>
            <w:r w:rsidRPr="00D27EA1">
              <w:rPr>
                <w:rFonts w:ascii="Arial Narrow" w:hAnsi="Arial Narrow" w:cs="Arial"/>
                <w:b/>
                <w:bCs/>
                <w:color w:val="000000"/>
                <w:sz w:val="15"/>
                <w:szCs w:val="15"/>
                <w:lang w:val="fr-FR"/>
              </w:rPr>
              <w:t xml:space="preserve">2. </w:t>
            </w:r>
            <w:r w:rsidR="00663316" w:rsidRPr="00D27EA1">
              <w:rPr>
                <w:rFonts w:ascii="Arial Narrow" w:hAnsi="Arial Narrow" w:cs="Arial"/>
                <w:b/>
                <w:bCs/>
                <w:color w:val="000000"/>
                <w:sz w:val="15"/>
                <w:szCs w:val="15"/>
                <w:lang w:val="fr-FR"/>
              </w:rPr>
              <w:t xml:space="preserve">La </w:t>
            </w:r>
            <w:r w:rsidR="00DB1B28" w:rsidRPr="00D27EA1">
              <w:rPr>
                <w:rFonts w:ascii="Arial Narrow" w:hAnsi="Arial Narrow" w:cs="Arial"/>
                <w:b/>
                <w:bCs/>
                <w:color w:val="000000"/>
                <w:sz w:val="15"/>
                <w:szCs w:val="15"/>
                <w:lang w:val="fr-FR"/>
              </w:rPr>
              <w:t>société</w:t>
            </w:r>
            <w:r w:rsidR="00663316" w:rsidRPr="00D27EA1">
              <w:rPr>
                <w:rFonts w:ascii="Arial Narrow" w:hAnsi="Arial Narrow" w:cs="Arial" w:hint="cs"/>
                <w:b/>
                <w:bCs/>
                <w:color w:val="000000"/>
                <w:sz w:val="15"/>
                <w:szCs w:val="15"/>
                <w:lang w:val="fr-FR"/>
              </w:rPr>
              <w:t>́</w:t>
            </w:r>
            <w:r w:rsidR="00663316" w:rsidRPr="00D27EA1">
              <w:rPr>
                <w:rFonts w:ascii="Arial Narrow" w:hAnsi="Arial Narrow" w:cs="Arial"/>
                <w:b/>
                <w:bCs/>
                <w:color w:val="000000"/>
                <w:sz w:val="15"/>
                <w:szCs w:val="15"/>
                <w:lang w:val="fr-FR"/>
              </w:rPr>
              <w:t xml:space="preserve"> civile </w:t>
            </w:r>
            <w:r w:rsidR="00DB1B28" w:rsidRPr="00D27EA1">
              <w:rPr>
                <w:rFonts w:ascii="Arial Narrow" w:hAnsi="Arial Narrow" w:cs="Arial"/>
                <w:b/>
                <w:bCs/>
                <w:color w:val="000000"/>
                <w:sz w:val="15"/>
                <w:szCs w:val="15"/>
                <w:lang w:val="fr-FR"/>
              </w:rPr>
              <w:t>opère</w:t>
            </w:r>
            <w:r w:rsidR="00663316" w:rsidRPr="00D27EA1">
              <w:rPr>
                <w:rFonts w:ascii="Arial Narrow" w:hAnsi="Arial Narrow" w:cs="Arial"/>
                <w:b/>
                <w:bCs/>
                <w:color w:val="000000"/>
                <w:sz w:val="15"/>
                <w:szCs w:val="15"/>
                <w:lang w:val="fr-FR"/>
              </w:rPr>
              <w:t xml:space="preserve"> dans le cadre d’un environnement qui maximise son engagement </w:t>
            </w:r>
            <w:r w:rsidR="004C4306">
              <w:rPr>
                <w:rFonts w:ascii="Arial Narrow" w:hAnsi="Arial Narrow" w:cs="Arial"/>
                <w:b/>
                <w:bCs/>
                <w:color w:val="000000"/>
                <w:sz w:val="15"/>
                <w:szCs w:val="15"/>
                <w:lang w:val="fr-FR"/>
              </w:rPr>
              <w:t xml:space="preserve">et ses contributions </w:t>
            </w:r>
            <w:r w:rsidR="00663316" w:rsidRPr="00D27EA1">
              <w:rPr>
                <w:rFonts w:ascii="Arial Narrow" w:hAnsi="Arial Narrow" w:cs="Arial"/>
                <w:b/>
                <w:bCs/>
                <w:color w:val="000000"/>
                <w:sz w:val="15"/>
                <w:szCs w:val="15"/>
                <w:lang w:val="fr-FR"/>
              </w:rPr>
              <w:t xml:space="preserve">pour le </w:t>
            </w:r>
            <w:r w:rsidR="00DB1B28" w:rsidRPr="00D27EA1">
              <w:rPr>
                <w:rFonts w:ascii="Arial Narrow" w:hAnsi="Arial Narrow" w:cs="Arial"/>
                <w:b/>
                <w:bCs/>
                <w:color w:val="000000"/>
                <w:sz w:val="15"/>
                <w:szCs w:val="15"/>
                <w:lang w:val="fr-FR"/>
              </w:rPr>
              <w:t>développement</w:t>
            </w:r>
            <w:r w:rsidR="00663316" w:rsidRPr="00D27EA1">
              <w:rPr>
                <w:rFonts w:ascii="Arial Narrow" w:hAnsi="Arial Narrow" w:cs="Arial"/>
                <w:b/>
                <w:bCs/>
                <w:color w:val="000000"/>
                <w:sz w:val="15"/>
                <w:szCs w:val="15"/>
                <w:lang w:val="fr-FR"/>
              </w:rPr>
              <w:t xml:space="preserve"> </w:t>
            </w:r>
          </w:p>
          <w:p w14:paraId="058D6B4F" w14:textId="39C332F2" w:rsidR="00785FFC" w:rsidRPr="00D27EA1" w:rsidRDefault="003A4041" w:rsidP="00BC2B3B">
            <w:pPr>
              <w:autoSpaceDE w:val="0"/>
              <w:autoSpaceDN w:val="0"/>
              <w:adjustRightInd w:val="0"/>
              <w:spacing w:after="20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Indice d’environnement favorable.</w:t>
            </w:r>
          </w:p>
        </w:tc>
        <w:tc>
          <w:tcPr>
            <w:tcW w:w="2127" w:type="dxa"/>
            <w:shd w:val="clear" w:color="auto" w:fill="B5EDB5"/>
          </w:tcPr>
          <w:p w14:paraId="1D5A7B9C" w14:textId="40FF0EE9" w:rsidR="00785FFC" w:rsidRPr="00D27EA1" w:rsidRDefault="00B879EA" w:rsidP="004C4306">
            <w:pPr>
              <w:rPr>
                <w:rFonts w:ascii="Arial Narrow" w:hAnsi="Arial Narrow"/>
                <w:sz w:val="15"/>
                <w:szCs w:val="15"/>
                <w:lang w:val="fr-FR"/>
              </w:rPr>
            </w:pPr>
            <w:r w:rsidRPr="00D27EA1">
              <w:rPr>
                <w:rFonts w:ascii="Arial Narrow" w:hAnsi="Arial Narrow"/>
                <w:sz w:val="15"/>
                <w:szCs w:val="15"/>
                <w:lang w:val="fr-FR"/>
              </w:rPr>
              <w:t xml:space="preserve">Des preuves </w:t>
            </w:r>
            <w:r w:rsidR="00A23CF4" w:rsidRPr="00D27EA1">
              <w:rPr>
                <w:rFonts w:ascii="Arial Narrow" w:hAnsi="Arial Narrow"/>
                <w:sz w:val="15"/>
                <w:szCs w:val="15"/>
                <w:lang w:val="fr-FR"/>
              </w:rPr>
              <w:t>d’un</w:t>
            </w:r>
            <w:r w:rsidR="00003B49" w:rsidRPr="00D27EA1">
              <w:rPr>
                <w:rFonts w:ascii="Arial Narrow" w:hAnsi="Arial Narrow"/>
                <w:sz w:val="15"/>
                <w:szCs w:val="15"/>
                <w:lang w:val="fr-FR"/>
              </w:rPr>
              <w:t xml:space="preserve"> </w:t>
            </w:r>
            <w:r w:rsidR="00A23CF4" w:rsidRPr="00D27EA1">
              <w:rPr>
                <w:rFonts w:ascii="Arial Narrow" w:hAnsi="Arial Narrow"/>
                <w:sz w:val="15"/>
                <w:szCs w:val="15"/>
                <w:lang w:val="fr-FR"/>
              </w:rPr>
              <w:t>engagement significatif</w:t>
            </w:r>
            <w:r w:rsidRPr="00D27EA1">
              <w:rPr>
                <w:rFonts w:ascii="Arial Narrow" w:hAnsi="Arial Narrow"/>
                <w:sz w:val="15"/>
                <w:szCs w:val="15"/>
                <w:lang w:val="fr-FR"/>
              </w:rPr>
              <w:t xml:space="preserve"> </w:t>
            </w:r>
            <w:r w:rsidR="00003B49" w:rsidRPr="00D27EA1">
              <w:rPr>
                <w:rFonts w:ascii="Arial Narrow" w:hAnsi="Arial Narrow"/>
                <w:sz w:val="15"/>
                <w:szCs w:val="15"/>
                <w:lang w:val="fr-FR"/>
              </w:rPr>
              <w:t>de</w:t>
            </w:r>
            <w:r w:rsidRPr="00D27EA1">
              <w:rPr>
                <w:rFonts w:ascii="Arial Narrow" w:hAnsi="Arial Narrow"/>
                <w:sz w:val="15"/>
                <w:szCs w:val="15"/>
                <w:lang w:val="fr-FR"/>
              </w:rPr>
              <w:t xml:space="preserve"> la société civile </w:t>
            </w:r>
            <w:r w:rsidR="00AA13A2" w:rsidRPr="00D27EA1">
              <w:rPr>
                <w:rFonts w:ascii="Arial Narrow" w:hAnsi="Arial Narrow"/>
                <w:sz w:val="15"/>
                <w:szCs w:val="15"/>
                <w:lang w:val="fr-FR"/>
              </w:rPr>
              <w:t>dans les processus</w:t>
            </w:r>
            <w:r w:rsidR="00BC1F68" w:rsidRPr="00D27EA1">
              <w:rPr>
                <w:rFonts w:ascii="Arial Narrow" w:hAnsi="Arial Narrow"/>
                <w:sz w:val="15"/>
                <w:szCs w:val="15"/>
                <w:lang w:val="fr-FR"/>
              </w:rPr>
              <w:t xml:space="preserve"> politique du</w:t>
            </w:r>
            <w:r w:rsidR="00AA13A2" w:rsidRPr="00D27EA1">
              <w:rPr>
                <w:rFonts w:ascii="Arial Narrow" w:hAnsi="Arial Narrow"/>
                <w:sz w:val="15"/>
                <w:szCs w:val="15"/>
                <w:lang w:val="fr-FR"/>
              </w:rPr>
              <w:t xml:space="preserve"> secteur de la santé</w:t>
            </w:r>
            <w:r w:rsidR="00BC1F68" w:rsidRPr="00D27EA1">
              <w:rPr>
                <w:rFonts w:ascii="Arial Narrow" w:hAnsi="Arial Narrow"/>
                <w:sz w:val="15"/>
                <w:szCs w:val="15"/>
                <w:lang w:val="fr-FR"/>
              </w:rPr>
              <w:t xml:space="preserve"> </w:t>
            </w:r>
            <w:r w:rsidR="00785FFC" w:rsidRPr="00D27EA1">
              <w:rPr>
                <w:rFonts w:ascii="Arial Narrow" w:hAnsi="Arial Narrow"/>
                <w:sz w:val="15"/>
                <w:szCs w:val="15"/>
                <w:lang w:val="fr-FR"/>
              </w:rPr>
              <w:t xml:space="preserve">– </w:t>
            </w:r>
            <w:r w:rsidR="00BC1F68" w:rsidRPr="00D27EA1">
              <w:rPr>
                <w:rFonts w:ascii="Arial Narrow" w:hAnsi="Arial Narrow"/>
                <w:sz w:val="15"/>
                <w:szCs w:val="15"/>
                <w:lang w:val="fr-FR"/>
              </w:rPr>
              <w:t xml:space="preserve">y compris la </w:t>
            </w:r>
            <w:r w:rsidR="00FF3028" w:rsidRPr="00D27EA1">
              <w:rPr>
                <w:rFonts w:ascii="Arial Narrow" w:hAnsi="Arial Narrow"/>
                <w:sz w:val="15"/>
                <w:szCs w:val="15"/>
                <w:lang w:val="fr-FR"/>
              </w:rPr>
              <w:t>planification</w:t>
            </w:r>
            <w:r w:rsidR="00BC1F68" w:rsidRPr="00D27EA1">
              <w:rPr>
                <w:rFonts w:ascii="Arial Narrow" w:hAnsi="Arial Narrow"/>
                <w:sz w:val="15"/>
                <w:szCs w:val="15"/>
                <w:lang w:val="fr-FR"/>
              </w:rPr>
              <w:t>, la coordination et les mécanismes d’examen du secteur de la santé</w:t>
            </w:r>
          </w:p>
        </w:tc>
        <w:tc>
          <w:tcPr>
            <w:tcW w:w="2126" w:type="dxa"/>
            <w:shd w:val="clear" w:color="auto" w:fill="B5EDB5"/>
          </w:tcPr>
          <w:p w14:paraId="3344D535" w14:textId="13EBD2FE" w:rsidR="00785FFC" w:rsidRPr="00D27EA1" w:rsidRDefault="00FF3028" w:rsidP="004C4306">
            <w:pPr>
              <w:rPr>
                <w:rFonts w:ascii="Arial Narrow" w:hAnsi="Arial Narrow"/>
                <w:sz w:val="15"/>
                <w:szCs w:val="15"/>
                <w:lang w:val="fr-FR"/>
              </w:rPr>
            </w:pPr>
            <w:r w:rsidRPr="00D27EA1">
              <w:rPr>
                <w:rFonts w:ascii="Arial Narrow" w:hAnsi="Arial Narrow"/>
                <w:sz w:val="15"/>
                <w:szCs w:val="15"/>
                <w:lang w:val="fr-FR"/>
              </w:rPr>
              <w:t xml:space="preserve">Des preuves </w:t>
            </w:r>
            <w:r w:rsidR="00F31748" w:rsidRPr="00D27EA1">
              <w:rPr>
                <w:rFonts w:ascii="Arial Narrow" w:hAnsi="Arial Narrow"/>
                <w:sz w:val="15"/>
                <w:szCs w:val="15"/>
                <w:lang w:val="fr-FR"/>
              </w:rPr>
              <w:t>de soutien</w:t>
            </w:r>
            <w:r w:rsidRPr="00D27EA1">
              <w:rPr>
                <w:rFonts w:ascii="Arial Narrow" w:hAnsi="Arial Narrow"/>
                <w:sz w:val="15"/>
                <w:szCs w:val="15"/>
                <w:lang w:val="fr-FR"/>
              </w:rPr>
              <w:t xml:space="preserve"> </w:t>
            </w:r>
            <w:r w:rsidR="00003B49" w:rsidRPr="00D27EA1">
              <w:rPr>
                <w:rFonts w:ascii="Arial Narrow" w:hAnsi="Arial Narrow"/>
                <w:sz w:val="15"/>
                <w:szCs w:val="15"/>
                <w:lang w:val="fr-FR"/>
              </w:rPr>
              <w:t>à</w:t>
            </w:r>
            <w:r w:rsidR="00D27EA1">
              <w:rPr>
                <w:rFonts w:ascii="Arial Narrow" w:hAnsi="Arial Narrow"/>
                <w:sz w:val="15"/>
                <w:szCs w:val="15"/>
                <w:lang w:val="fr-FR"/>
              </w:rPr>
              <w:t xml:space="preserve"> </w:t>
            </w:r>
            <w:r w:rsidR="00F31748" w:rsidRPr="00D27EA1">
              <w:rPr>
                <w:rFonts w:ascii="Arial Narrow" w:hAnsi="Arial Narrow"/>
                <w:sz w:val="15"/>
                <w:szCs w:val="15"/>
                <w:lang w:val="fr-FR"/>
              </w:rPr>
              <w:t xml:space="preserve">un </w:t>
            </w:r>
            <w:r w:rsidR="00A23CF4" w:rsidRPr="00D27EA1">
              <w:rPr>
                <w:rFonts w:ascii="Arial Narrow" w:hAnsi="Arial Narrow"/>
                <w:sz w:val="15"/>
                <w:szCs w:val="15"/>
                <w:lang w:val="fr-FR"/>
              </w:rPr>
              <w:t>engagement significatif</w:t>
            </w:r>
            <w:r w:rsidRPr="00D27EA1">
              <w:rPr>
                <w:rFonts w:ascii="Arial Narrow" w:hAnsi="Arial Narrow"/>
                <w:sz w:val="15"/>
                <w:szCs w:val="15"/>
                <w:lang w:val="fr-FR"/>
              </w:rPr>
              <w:t xml:space="preserve"> de la société civile dans les processus politique du secteur de la santé – y compris la planification, la coordination et les mécanismes d’examen du secteur de la santé </w:t>
            </w:r>
          </w:p>
        </w:tc>
        <w:tc>
          <w:tcPr>
            <w:tcW w:w="2380" w:type="dxa"/>
          </w:tcPr>
          <w:p w14:paraId="72B41B4E" w14:textId="3357A4F2" w:rsidR="00785FFC" w:rsidRPr="00D27EA1" w:rsidRDefault="007D2F1A"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Un nouvel indicateur du Partenariat de Busan ; déjà suivi par </w:t>
            </w:r>
            <w:proofErr w:type="spellStart"/>
            <w:r w:rsidR="00785FFC" w:rsidRPr="00D27EA1">
              <w:rPr>
                <w:rFonts w:ascii="Arial Narrow" w:hAnsi="Arial Narrow"/>
                <w:sz w:val="15"/>
                <w:szCs w:val="15"/>
                <w:lang w:val="fr-FR"/>
              </w:rPr>
              <w:t>IHP+Results</w:t>
            </w:r>
            <w:proofErr w:type="spellEnd"/>
            <w:r w:rsidR="00785FFC" w:rsidRPr="00D27EA1">
              <w:rPr>
                <w:rFonts w:ascii="Arial Narrow" w:hAnsi="Arial Narrow"/>
                <w:sz w:val="15"/>
                <w:szCs w:val="15"/>
                <w:lang w:val="fr-FR"/>
              </w:rPr>
              <w:t xml:space="preserve"> </w:t>
            </w:r>
          </w:p>
          <w:p w14:paraId="0288835D" w14:textId="445FB98C" w:rsidR="00785FFC" w:rsidRPr="00D27EA1" w:rsidRDefault="00785FFC"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Important </w:t>
            </w:r>
            <w:r w:rsidR="007D2F1A" w:rsidRPr="00D27EA1">
              <w:rPr>
                <w:rFonts w:ascii="Arial Narrow" w:hAnsi="Arial Narrow"/>
                <w:sz w:val="15"/>
                <w:szCs w:val="15"/>
                <w:lang w:val="fr-FR"/>
              </w:rPr>
              <w:t>en ce qui concerne la redevabilité mutuelle</w:t>
            </w:r>
          </w:p>
          <w:p w14:paraId="4A243C5C" w14:textId="275DFD56" w:rsidR="00785FFC" w:rsidRPr="00D27EA1" w:rsidRDefault="007D2F1A" w:rsidP="00DB62C7">
            <w:pPr>
              <w:numPr>
                <w:ilvl w:val="0"/>
                <w:numId w:val="26"/>
              </w:numPr>
              <w:ind w:left="175" w:hanging="175"/>
              <w:contextualSpacing/>
              <w:rPr>
                <w:rFonts w:ascii="Arial Narrow" w:hAnsi="Arial Narrow"/>
                <w:sz w:val="15"/>
                <w:szCs w:val="15"/>
                <w:lang w:val="fr-FR"/>
              </w:rPr>
            </w:pPr>
            <w:r w:rsidRPr="00D27EA1">
              <w:rPr>
                <w:rFonts w:ascii="Arial Narrow" w:hAnsi="Arial Narrow"/>
                <w:sz w:val="15"/>
                <w:szCs w:val="15"/>
                <w:lang w:val="fr-FR"/>
              </w:rPr>
              <w:t>Les données relatives aux tendances sont déjà disponibles pour la moitié des signataires du IHP+</w:t>
            </w:r>
          </w:p>
        </w:tc>
      </w:tr>
      <w:tr w:rsidR="00785FFC" w:rsidRPr="004545B0" w14:paraId="42528252" w14:textId="77777777" w:rsidTr="00BC2B3B">
        <w:tc>
          <w:tcPr>
            <w:tcW w:w="2943" w:type="dxa"/>
          </w:tcPr>
          <w:p w14:paraId="21FA6E6C" w14:textId="5BCC9F09" w:rsidR="00785FFC" w:rsidRPr="00D27EA1" w:rsidRDefault="00785FFC" w:rsidP="00BC2B3B">
            <w:pPr>
              <w:spacing w:after="120" w:line="276" w:lineRule="auto"/>
              <w:rPr>
                <w:rFonts w:ascii="Arial Narrow" w:hAnsi="Arial Narrow"/>
                <w:b/>
                <w:bCs/>
                <w:sz w:val="15"/>
                <w:szCs w:val="15"/>
                <w:lang w:val="fr-FR"/>
              </w:rPr>
            </w:pPr>
            <w:r w:rsidRPr="00D27EA1">
              <w:rPr>
                <w:rFonts w:ascii="Arial Narrow" w:hAnsi="Arial Narrow"/>
                <w:b/>
                <w:bCs/>
                <w:sz w:val="15"/>
                <w:szCs w:val="15"/>
                <w:lang w:val="fr-FR"/>
              </w:rPr>
              <w:t xml:space="preserve">3. </w:t>
            </w:r>
            <w:r w:rsidR="001D2815" w:rsidRPr="00D27EA1">
              <w:rPr>
                <w:rFonts w:ascii="Arial Narrow" w:hAnsi="Arial Narrow"/>
                <w:b/>
                <w:bCs/>
                <w:sz w:val="15"/>
                <w:szCs w:val="15"/>
                <w:lang w:val="fr-FR"/>
              </w:rPr>
              <w:t xml:space="preserve">Engagement et contribution au </w:t>
            </w:r>
            <w:r w:rsidR="00DB1B28" w:rsidRPr="00D27EA1">
              <w:rPr>
                <w:rFonts w:ascii="Arial Narrow" w:hAnsi="Arial Narrow"/>
                <w:b/>
                <w:bCs/>
                <w:sz w:val="15"/>
                <w:szCs w:val="15"/>
                <w:lang w:val="fr-FR"/>
              </w:rPr>
              <w:t>développement</w:t>
            </w:r>
            <w:r w:rsidR="001D2815" w:rsidRPr="00D27EA1">
              <w:rPr>
                <w:rFonts w:ascii="Arial Narrow" w:hAnsi="Arial Narrow"/>
                <w:b/>
                <w:bCs/>
                <w:sz w:val="15"/>
                <w:szCs w:val="15"/>
                <w:lang w:val="fr-FR"/>
              </w:rPr>
              <w:t xml:space="preserve"> du secteur privé</w:t>
            </w:r>
          </w:p>
          <w:p w14:paraId="1F6AF4E3" w14:textId="5F757108" w:rsidR="00785FFC" w:rsidRPr="00D27EA1" w:rsidRDefault="00785FFC" w:rsidP="00367147">
            <w:pPr>
              <w:rPr>
                <w:rFonts w:ascii="Arial Narrow" w:hAnsi="Arial Narrow"/>
                <w:sz w:val="14"/>
                <w:szCs w:val="14"/>
                <w:lang w:val="fr-FR"/>
              </w:rPr>
            </w:pPr>
            <w:r w:rsidRPr="00D27EA1">
              <w:rPr>
                <w:rFonts w:ascii="Arial Narrow" w:hAnsi="Arial Narrow" w:cs="Arial"/>
                <w:color w:val="000000"/>
                <w:sz w:val="15"/>
                <w:szCs w:val="15"/>
                <w:lang w:val="fr-FR"/>
              </w:rPr>
              <w:t>(</w:t>
            </w:r>
            <w:r w:rsidR="00AC488C" w:rsidRPr="00D27EA1">
              <w:rPr>
                <w:rFonts w:ascii="Arial Narrow" w:hAnsi="Arial Narrow" w:cs="Arial"/>
                <w:color w:val="000000"/>
                <w:sz w:val="15"/>
                <w:szCs w:val="15"/>
                <w:lang w:val="fr-FR"/>
              </w:rPr>
              <w:t xml:space="preserve">Mesure à </w:t>
            </w:r>
            <w:proofErr w:type="gramStart"/>
            <w:r w:rsidR="00AC488C" w:rsidRPr="00D27EA1">
              <w:rPr>
                <w:rFonts w:ascii="Arial Narrow" w:hAnsi="Arial Narrow" w:cs="Arial"/>
                <w:color w:val="000000"/>
                <w:sz w:val="15"/>
                <w:szCs w:val="15"/>
                <w:lang w:val="fr-FR"/>
              </w:rPr>
              <w:t>identifier</w:t>
            </w:r>
            <w:proofErr w:type="gramEnd"/>
            <w:r w:rsidRPr="00D27EA1">
              <w:rPr>
                <w:rFonts w:ascii="Arial Narrow" w:hAnsi="Arial Narrow" w:cs="Arial"/>
                <w:color w:val="000000"/>
                <w:sz w:val="15"/>
                <w:szCs w:val="15"/>
                <w:lang w:val="fr-FR"/>
              </w:rPr>
              <w:t>)</w:t>
            </w:r>
          </w:p>
        </w:tc>
        <w:tc>
          <w:tcPr>
            <w:tcW w:w="2127" w:type="dxa"/>
          </w:tcPr>
          <w:p w14:paraId="65415F29" w14:textId="77777777" w:rsidR="00785FFC" w:rsidRPr="00D27EA1" w:rsidRDefault="00785FFC" w:rsidP="00BC2B3B">
            <w:pPr>
              <w:rPr>
                <w:rFonts w:ascii="Arial Narrow" w:hAnsi="Arial Narrow"/>
                <w:sz w:val="15"/>
                <w:szCs w:val="15"/>
                <w:lang w:val="fr-FR"/>
              </w:rPr>
            </w:pPr>
          </w:p>
        </w:tc>
        <w:tc>
          <w:tcPr>
            <w:tcW w:w="2126" w:type="dxa"/>
          </w:tcPr>
          <w:p w14:paraId="17EC98AA" w14:textId="77777777" w:rsidR="00785FFC" w:rsidRPr="00D27EA1" w:rsidRDefault="00785FFC" w:rsidP="00BC2B3B">
            <w:pPr>
              <w:rPr>
                <w:rFonts w:ascii="Arial Narrow" w:hAnsi="Arial Narrow"/>
                <w:sz w:val="15"/>
                <w:szCs w:val="15"/>
                <w:lang w:val="fr-FR"/>
              </w:rPr>
            </w:pPr>
          </w:p>
        </w:tc>
        <w:tc>
          <w:tcPr>
            <w:tcW w:w="2380" w:type="dxa"/>
          </w:tcPr>
          <w:p w14:paraId="01BCC808" w14:textId="54F092A4" w:rsidR="00785FFC" w:rsidRPr="00D27EA1" w:rsidRDefault="007D2F1A" w:rsidP="00DB62C7">
            <w:pPr>
              <w:rPr>
                <w:rFonts w:ascii="Arial Narrow" w:hAnsi="Arial Narrow"/>
                <w:iCs/>
                <w:sz w:val="15"/>
                <w:szCs w:val="15"/>
                <w:lang w:val="fr-FR"/>
              </w:rPr>
            </w:pPr>
            <w:r w:rsidRPr="00D27EA1">
              <w:rPr>
                <w:rFonts w:ascii="Arial Narrow" w:hAnsi="Arial Narrow"/>
                <w:iCs/>
                <w:sz w:val="15"/>
                <w:szCs w:val="15"/>
                <w:lang w:val="fr-FR"/>
              </w:rPr>
              <w:t xml:space="preserve">Sujet pertinent mais pas encore d’indicateur convenu </w:t>
            </w:r>
          </w:p>
        </w:tc>
      </w:tr>
      <w:tr w:rsidR="00785FFC" w:rsidRPr="004545B0" w14:paraId="589E4D6E" w14:textId="77777777" w:rsidTr="00BC2B3B">
        <w:tc>
          <w:tcPr>
            <w:tcW w:w="2943" w:type="dxa"/>
            <w:tcBorders>
              <w:bottom w:val="single" w:sz="4" w:space="0" w:color="auto"/>
            </w:tcBorders>
          </w:tcPr>
          <w:p w14:paraId="725E4C18" w14:textId="2C366EF4" w:rsidR="00785FFC" w:rsidRPr="00D27EA1" w:rsidRDefault="00785FFC" w:rsidP="00BC2B3B">
            <w:pPr>
              <w:spacing w:after="120" w:line="276" w:lineRule="auto"/>
              <w:rPr>
                <w:rFonts w:ascii="Arial Narrow" w:hAnsi="Arial Narrow"/>
                <w:b/>
                <w:bCs/>
                <w:sz w:val="15"/>
                <w:szCs w:val="15"/>
                <w:lang w:val="fr-FR"/>
              </w:rPr>
            </w:pPr>
            <w:r w:rsidRPr="00D27EA1">
              <w:rPr>
                <w:rFonts w:ascii="Arial Narrow" w:hAnsi="Arial Narrow"/>
                <w:b/>
                <w:bCs/>
                <w:sz w:val="15"/>
                <w:szCs w:val="15"/>
                <w:lang w:val="fr-FR"/>
              </w:rPr>
              <w:t xml:space="preserve">4. </w:t>
            </w:r>
            <w:r w:rsidR="00AC488C" w:rsidRPr="00D27EA1">
              <w:rPr>
                <w:rFonts w:ascii="Arial Narrow" w:hAnsi="Arial Narrow"/>
                <w:b/>
                <w:bCs/>
                <w:sz w:val="15"/>
                <w:szCs w:val="15"/>
                <w:lang w:val="fr-FR"/>
              </w:rPr>
              <w:t xml:space="preserve">Transparence : l’information sur la </w:t>
            </w:r>
            <w:r w:rsidR="00DB1B28" w:rsidRPr="00D27EA1">
              <w:rPr>
                <w:rFonts w:ascii="Arial Narrow" w:hAnsi="Arial Narrow"/>
                <w:b/>
                <w:bCs/>
                <w:sz w:val="15"/>
                <w:szCs w:val="15"/>
                <w:lang w:val="fr-FR"/>
              </w:rPr>
              <w:t>coopération</w:t>
            </w:r>
            <w:r w:rsidR="00AC488C" w:rsidRPr="00D27EA1">
              <w:rPr>
                <w:rFonts w:ascii="Arial Narrow" w:hAnsi="Arial Narrow"/>
                <w:b/>
                <w:bCs/>
                <w:sz w:val="15"/>
                <w:szCs w:val="15"/>
                <w:lang w:val="fr-FR"/>
              </w:rPr>
              <w:t xml:space="preserve"> pour le </w:t>
            </w:r>
            <w:r w:rsidR="00DB1B28" w:rsidRPr="00D27EA1">
              <w:rPr>
                <w:rFonts w:ascii="Arial Narrow" w:hAnsi="Arial Narrow"/>
                <w:b/>
                <w:bCs/>
                <w:sz w:val="15"/>
                <w:szCs w:val="15"/>
                <w:lang w:val="fr-FR"/>
              </w:rPr>
              <w:t>développement</w:t>
            </w:r>
            <w:r w:rsidR="00AC488C" w:rsidRPr="00D27EA1">
              <w:rPr>
                <w:rFonts w:ascii="Arial Narrow" w:hAnsi="Arial Narrow"/>
                <w:b/>
                <w:bCs/>
                <w:sz w:val="15"/>
                <w:szCs w:val="15"/>
                <w:lang w:val="fr-FR"/>
              </w:rPr>
              <w:t xml:space="preserve"> est accessible au public</w:t>
            </w:r>
          </w:p>
          <w:p w14:paraId="269A306D" w14:textId="3F4B4428" w:rsidR="00785FFC" w:rsidRPr="00D27EA1" w:rsidRDefault="00785FFC" w:rsidP="00D27EA1">
            <w:pPr>
              <w:rPr>
                <w:rFonts w:ascii="Arial Narrow" w:hAnsi="Arial Narrow"/>
                <w:sz w:val="14"/>
                <w:szCs w:val="14"/>
                <w:lang w:val="fr-FR"/>
              </w:rPr>
            </w:pPr>
            <w:r w:rsidRPr="00D27EA1">
              <w:rPr>
                <w:rFonts w:ascii="Arial Narrow" w:hAnsi="Arial Narrow" w:cs="Arial"/>
                <w:color w:val="000000"/>
                <w:sz w:val="15"/>
                <w:szCs w:val="15"/>
                <w:lang w:val="fr-FR"/>
              </w:rPr>
              <w:t>(</w:t>
            </w:r>
            <w:r w:rsidR="00AC488C" w:rsidRPr="00D27EA1">
              <w:rPr>
                <w:rFonts w:ascii="Arial Narrow" w:hAnsi="Arial Narrow" w:cs="Arial"/>
                <w:color w:val="000000"/>
                <w:sz w:val="15"/>
                <w:szCs w:val="15"/>
                <w:lang w:val="fr-FR"/>
              </w:rPr>
              <w:t>Mesure de l’</w:t>
            </w:r>
            <w:r w:rsidR="00DB1B28" w:rsidRPr="00D27EA1">
              <w:rPr>
                <w:rFonts w:ascii="Arial Narrow" w:hAnsi="Arial Narrow" w:cs="Arial"/>
                <w:color w:val="000000"/>
                <w:sz w:val="15"/>
                <w:szCs w:val="15"/>
                <w:lang w:val="fr-FR"/>
              </w:rPr>
              <w:t>état</w:t>
            </w:r>
            <w:r w:rsidR="00AC488C" w:rsidRPr="00D27EA1">
              <w:rPr>
                <w:rFonts w:ascii="Arial Narrow" w:hAnsi="Arial Narrow" w:cs="Arial"/>
                <w:color w:val="000000"/>
                <w:sz w:val="15"/>
                <w:szCs w:val="15"/>
                <w:lang w:val="fr-FR"/>
              </w:rPr>
              <w:t xml:space="preserve"> de mise en œuvre du standard commun par les fournisseurs de </w:t>
            </w:r>
            <w:r w:rsidR="00DB1B28" w:rsidRPr="00D27EA1">
              <w:rPr>
                <w:rFonts w:ascii="Arial Narrow" w:hAnsi="Arial Narrow" w:cs="Arial"/>
                <w:color w:val="000000"/>
                <w:sz w:val="15"/>
                <w:szCs w:val="15"/>
                <w:lang w:val="fr-FR"/>
              </w:rPr>
              <w:t>coopération</w:t>
            </w:r>
            <w:r w:rsidR="00AC488C" w:rsidRPr="00D27EA1">
              <w:rPr>
                <w:rFonts w:ascii="Arial Narrow" w:hAnsi="Arial Narrow" w:cs="Arial"/>
                <w:color w:val="000000"/>
                <w:sz w:val="15"/>
                <w:szCs w:val="15"/>
                <w:lang w:val="fr-FR"/>
              </w:rPr>
              <w:t xml:space="preserve"> à </w:t>
            </w:r>
            <w:r w:rsidR="00DB1B28" w:rsidRPr="00D27EA1">
              <w:rPr>
                <w:rFonts w:ascii="Arial Narrow" w:hAnsi="Arial Narrow" w:cs="Arial"/>
                <w:color w:val="000000"/>
                <w:sz w:val="15"/>
                <w:szCs w:val="15"/>
                <w:lang w:val="fr-FR"/>
              </w:rPr>
              <w:t>déterminer</w:t>
            </w:r>
            <w:r w:rsidRPr="00D27EA1">
              <w:rPr>
                <w:rFonts w:ascii="Arial Narrow" w:hAnsi="Arial Narrow" w:cs="Arial"/>
                <w:color w:val="000000"/>
                <w:sz w:val="15"/>
                <w:szCs w:val="15"/>
                <w:lang w:val="fr-FR"/>
              </w:rPr>
              <w:t>)</w:t>
            </w:r>
          </w:p>
        </w:tc>
        <w:tc>
          <w:tcPr>
            <w:tcW w:w="2127" w:type="dxa"/>
            <w:tcBorders>
              <w:bottom w:val="single" w:sz="4" w:space="0" w:color="auto"/>
            </w:tcBorders>
          </w:tcPr>
          <w:p w14:paraId="04409B3F" w14:textId="77777777" w:rsidR="00785FFC" w:rsidRPr="00D27EA1" w:rsidRDefault="00785FFC" w:rsidP="00BC2B3B">
            <w:pPr>
              <w:rPr>
                <w:rFonts w:ascii="Arial Narrow" w:hAnsi="Arial Narrow"/>
                <w:sz w:val="15"/>
                <w:szCs w:val="15"/>
                <w:lang w:val="fr-FR"/>
              </w:rPr>
            </w:pPr>
          </w:p>
        </w:tc>
        <w:tc>
          <w:tcPr>
            <w:tcW w:w="2126" w:type="dxa"/>
            <w:tcBorders>
              <w:bottom w:val="single" w:sz="4" w:space="0" w:color="auto"/>
            </w:tcBorders>
          </w:tcPr>
          <w:p w14:paraId="3D90649A" w14:textId="77777777" w:rsidR="00785FFC" w:rsidRPr="00D27EA1" w:rsidRDefault="00785FFC" w:rsidP="00BC2B3B">
            <w:pPr>
              <w:rPr>
                <w:rFonts w:ascii="Arial Narrow" w:hAnsi="Arial Narrow"/>
                <w:i/>
                <w:iCs/>
                <w:sz w:val="15"/>
                <w:szCs w:val="15"/>
                <w:lang w:val="fr-FR"/>
              </w:rPr>
            </w:pPr>
          </w:p>
        </w:tc>
        <w:tc>
          <w:tcPr>
            <w:tcW w:w="2380" w:type="dxa"/>
          </w:tcPr>
          <w:p w14:paraId="677041EF" w14:textId="480ACD2D" w:rsidR="00785FFC" w:rsidRPr="00D27EA1" w:rsidRDefault="007D2F1A" w:rsidP="00DB62C7">
            <w:pPr>
              <w:rPr>
                <w:rFonts w:ascii="Arial Narrow" w:hAnsi="Arial Narrow"/>
                <w:iCs/>
                <w:sz w:val="15"/>
                <w:szCs w:val="15"/>
                <w:lang w:val="fr-FR"/>
              </w:rPr>
            </w:pPr>
            <w:r w:rsidRPr="00D27EA1">
              <w:rPr>
                <w:rFonts w:ascii="Arial Narrow" w:hAnsi="Arial Narrow"/>
                <w:iCs/>
                <w:sz w:val="15"/>
                <w:szCs w:val="15"/>
                <w:lang w:val="fr-FR"/>
              </w:rPr>
              <w:t>Une d</w:t>
            </w:r>
            <w:r w:rsidR="00785FFC" w:rsidRPr="00D27EA1">
              <w:rPr>
                <w:rFonts w:ascii="Arial Narrow" w:hAnsi="Arial Narrow"/>
                <w:iCs/>
                <w:sz w:val="15"/>
                <w:szCs w:val="15"/>
                <w:lang w:val="fr-FR"/>
              </w:rPr>
              <w:t>iscussion</w:t>
            </w:r>
            <w:r w:rsidRPr="00D27EA1">
              <w:rPr>
                <w:rFonts w:ascii="Arial Narrow" w:hAnsi="Arial Narrow"/>
                <w:iCs/>
                <w:sz w:val="15"/>
                <w:szCs w:val="15"/>
                <w:lang w:val="fr-FR"/>
              </w:rPr>
              <w:t xml:space="preserve"> est nécessaire afin de déterminer s’il devrait y avoir un indicateur spécifique </w:t>
            </w:r>
            <w:r w:rsidR="000A1F56" w:rsidRPr="00D27EA1">
              <w:rPr>
                <w:rFonts w:ascii="Arial Narrow" w:hAnsi="Arial Narrow"/>
                <w:iCs/>
                <w:sz w:val="15"/>
                <w:szCs w:val="15"/>
                <w:lang w:val="fr-FR"/>
              </w:rPr>
              <w:t>pour le</w:t>
            </w:r>
            <w:r w:rsidRPr="00D27EA1">
              <w:rPr>
                <w:rFonts w:ascii="Arial Narrow" w:hAnsi="Arial Narrow"/>
                <w:iCs/>
                <w:sz w:val="15"/>
                <w:szCs w:val="15"/>
                <w:lang w:val="fr-FR"/>
              </w:rPr>
              <w:t xml:space="preserve"> secteur de la santé</w:t>
            </w:r>
            <w:r w:rsidR="00D27EA1">
              <w:rPr>
                <w:rFonts w:ascii="Arial Narrow" w:hAnsi="Arial Narrow"/>
                <w:iCs/>
                <w:sz w:val="15"/>
                <w:szCs w:val="15"/>
                <w:lang w:val="fr-FR"/>
              </w:rPr>
              <w:t xml:space="preserve"> </w:t>
            </w:r>
          </w:p>
        </w:tc>
      </w:tr>
      <w:tr w:rsidR="00785FFC" w:rsidRPr="004545B0" w14:paraId="798E2E4B" w14:textId="77777777" w:rsidTr="00BC2B3B">
        <w:tc>
          <w:tcPr>
            <w:tcW w:w="2943" w:type="dxa"/>
            <w:shd w:val="clear" w:color="auto" w:fill="C9DBFF"/>
          </w:tcPr>
          <w:p w14:paraId="4C0D6C79" w14:textId="60B8C95B" w:rsidR="00785FFC" w:rsidRPr="00D27EA1" w:rsidRDefault="00785FFC" w:rsidP="00BC2B3B">
            <w:pPr>
              <w:spacing w:after="120" w:line="276" w:lineRule="auto"/>
              <w:rPr>
                <w:rFonts w:ascii="Arial Narrow" w:hAnsi="Arial Narrow"/>
                <w:b/>
                <w:bCs/>
                <w:sz w:val="15"/>
                <w:szCs w:val="15"/>
                <w:lang w:val="fr-FR"/>
              </w:rPr>
            </w:pPr>
            <w:r w:rsidRPr="00D27EA1">
              <w:rPr>
                <w:rFonts w:ascii="Arial Narrow" w:hAnsi="Arial Narrow"/>
                <w:b/>
                <w:bCs/>
                <w:sz w:val="15"/>
                <w:szCs w:val="15"/>
                <w:lang w:val="fr-FR"/>
              </w:rPr>
              <w:t xml:space="preserve">5. </w:t>
            </w:r>
            <w:r w:rsidR="00AC488C" w:rsidRPr="00D27EA1">
              <w:rPr>
                <w:rFonts w:ascii="Arial Narrow" w:hAnsi="Arial Narrow"/>
                <w:b/>
                <w:bCs/>
                <w:sz w:val="15"/>
                <w:szCs w:val="15"/>
                <w:lang w:val="fr-FR"/>
              </w:rPr>
              <w:t xml:space="preserve">La </w:t>
            </w:r>
            <w:r w:rsidR="00DB1B28" w:rsidRPr="00D27EA1">
              <w:rPr>
                <w:rFonts w:ascii="Arial Narrow" w:hAnsi="Arial Narrow"/>
                <w:b/>
                <w:bCs/>
                <w:sz w:val="15"/>
                <w:szCs w:val="15"/>
                <w:lang w:val="fr-FR"/>
              </w:rPr>
              <w:t>coopération</w:t>
            </w:r>
            <w:r w:rsidR="00AC488C" w:rsidRPr="00D27EA1">
              <w:rPr>
                <w:rFonts w:ascii="Arial Narrow" w:hAnsi="Arial Narrow"/>
                <w:b/>
                <w:bCs/>
                <w:sz w:val="15"/>
                <w:szCs w:val="15"/>
                <w:lang w:val="fr-FR"/>
              </w:rPr>
              <w:t xml:space="preserve"> pour le </w:t>
            </w:r>
            <w:r w:rsidR="00DB1B28" w:rsidRPr="00D27EA1">
              <w:rPr>
                <w:rFonts w:ascii="Arial Narrow" w:hAnsi="Arial Narrow"/>
                <w:b/>
                <w:bCs/>
                <w:sz w:val="15"/>
                <w:szCs w:val="15"/>
                <w:lang w:val="fr-FR"/>
              </w:rPr>
              <w:t>développement</w:t>
            </w:r>
            <w:r w:rsidR="00AC488C" w:rsidRPr="00D27EA1">
              <w:rPr>
                <w:rFonts w:ascii="Arial Narrow" w:hAnsi="Arial Narrow"/>
                <w:b/>
                <w:bCs/>
                <w:sz w:val="15"/>
                <w:szCs w:val="15"/>
                <w:lang w:val="fr-FR"/>
              </w:rPr>
              <w:t xml:space="preserve"> est davantage </w:t>
            </w:r>
            <w:r w:rsidR="00DB1B28" w:rsidRPr="00D27EA1">
              <w:rPr>
                <w:rFonts w:ascii="Arial Narrow" w:hAnsi="Arial Narrow"/>
                <w:b/>
                <w:bCs/>
                <w:sz w:val="15"/>
                <w:szCs w:val="15"/>
                <w:lang w:val="fr-FR"/>
              </w:rPr>
              <w:t>prévisible</w:t>
            </w:r>
          </w:p>
          <w:p w14:paraId="7AB2A8F0" w14:textId="351A6020" w:rsidR="00AC488C" w:rsidRPr="00D27EA1" w:rsidRDefault="00785FFC" w:rsidP="00AC488C">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xml:space="preserve">(a) </w:t>
            </w:r>
            <w:r w:rsidR="00AC488C" w:rsidRPr="00D27EA1">
              <w:rPr>
                <w:rFonts w:ascii="Arial Narrow" w:hAnsi="Arial Narrow" w:cs="Arial"/>
                <w:color w:val="000000"/>
                <w:sz w:val="15"/>
                <w:szCs w:val="15"/>
                <w:lang w:val="fr-FR"/>
              </w:rPr>
              <w:t xml:space="preserve">annuelle : part de l’aide </w:t>
            </w:r>
            <w:r w:rsidR="00DB1B28" w:rsidRPr="00D27EA1">
              <w:rPr>
                <w:rFonts w:ascii="Arial Narrow" w:hAnsi="Arial Narrow" w:cs="Arial"/>
                <w:color w:val="000000"/>
                <w:sz w:val="15"/>
                <w:szCs w:val="15"/>
                <w:lang w:val="fr-FR"/>
              </w:rPr>
              <w:t>décaissée</w:t>
            </w:r>
            <w:r w:rsidR="00AC488C" w:rsidRPr="00D27EA1">
              <w:rPr>
                <w:rFonts w:ascii="Arial Narrow" w:hAnsi="Arial Narrow" w:cs="Arial"/>
                <w:color w:val="000000"/>
                <w:sz w:val="15"/>
                <w:szCs w:val="15"/>
                <w:lang w:val="fr-FR"/>
              </w:rPr>
              <w:t xml:space="preserve"> au cours de l’exercice </w:t>
            </w:r>
            <w:r w:rsidR="00DB1B28" w:rsidRPr="00D27EA1">
              <w:rPr>
                <w:rFonts w:ascii="Arial Narrow" w:hAnsi="Arial Narrow" w:cs="Arial"/>
                <w:color w:val="000000"/>
                <w:sz w:val="15"/>
                <w:szCs w:val="15"/>
                <w:lang w:val="fr-FR"/>
              </w:rPr>
              <w:t>budgétaire</w:t>
            </w:r>
            <w:r w:rsidR="00AC488C" w:rsidRPr="00D27EA1">
              <w:rPr>
                <w:rFonts w:ascii="Arial Narrow" w:hAnsi="Arial Narrow" w:cs="Arial"/>
                <w:color w:val="000000"/>
                <w:sz w:val="15"/>
                <w:szCs w:val="15"/>
                <w:lang w:val="fr-FR"/>
              </w:rPr>
              <w:t xml:space="preserve"> pour lequel elle </w:t>
            </w:r>
            <w:r w:rsidR="00DB1B28" w:rsidRPr="00D27EA1">
              <w:rPr>
                <w:rFonts w:ascii="Arial Narrow" w:hAnsi="Arial Narrow" w:cs="Arial"/>
                <w:color w:val="000000"/>
                <w:sz w:val="15"/>
                <w:szCs w:val="15"/>
                <w:lang w:val="fr-FR"/>
              </w:rPr>
              <w:t>était</w:t>
            </w:r>
            <w:r w:rsidR="00AC488C" w:rsidRPr="00D27EA1">
              <w:rPr>
                <w:rFonts w:ascii="Arial Narrow" w:hAnsi="Arial Narrow" w:cs="Arial"/>
                <w:color w:val="000000"/>
                <w:sz w:val="15"/>
                <w:szCs w:val="15"/>
                <w:lang w:val="fr-FR"/>
              </w:rPr>
              <w:t xml:space="preserve"> </w:t>
            </w:r>
            <w:r w:rsidR="00DB1B28" w:rsidRPr="00D27EA1">
              <w:rPr>
                <w:rFonts w:ascii="Arial Narrow" w:hAnsi="Arial Narrow" w:cs="Arial"/>
                <w:color w:val="000000"/>
                <w:sz w:val="15"/>
                <w:szCs w:val="15"/>
                <w:lang w:val="fr-FR"/>
              </w:rPr>
              <w:t>prévue</w:t>
            </w:r>
            <w:r w:rsidR="00AC488C" w:rsidRPr="00D27EA1">
              <w:rPr>
                <w:rFonts w:ascii="Arial Narrow" w:hAnsi="Arial Narrow" w:cs="Arial"/>
                <w:color w:val="000000"/>
                <w:sz w:val="15"/>
                <w:szCs w:val="15"/>
                <w:lang w:val="fr-FR"/>
              </w:rPr>
              <w:t xml:space="preserve"> par les fournisseurs de </w:t>
            </w:r>
            <w:r w:rsidR="00DB1B28" w:rsidRPr="00D27EA1">
              <w:rPr>
                <w:rFonts w:ascii="Arial Narrow" w:hAnsi="Arial Narrow" w:cs="Arial"/>
                <w:color w:val="000000"/>
                <w:sz w:val="15"/>
                <w:szCs w:val="15"/>
                <w:lang w:val="fr-FR"/>
              </w:rPr>
              <w:t>coopération</w:t>
            </w:r>
            <w:r w:rsidR="00AC488C" w:rsidRPr="00D27EA1">
              <w:rPr>
                <w:rFonts w:ascii="Arial Narrow" w:hAnsi="Arial Narrow" w:cs="Arial"/>
                <w:color w:val="000000"/>
                <w:sz w:val="15"/>
                <w:szCs w:val="15"/>
                <w:lang w:val="fr-FR"/>
              </w:rPr>
              <w:t>; et</w:t>
            </w:r>
          </w:p>
          <w:p w14:paraId="40539189" w14:textId="71B6BA5F" w:rsidR="00785FFC" w:rsidRPr="00D27EA1" w:rsidRDefault="00AC488C" w:rsidP="00CC4E8F">
            <w:pPr>
              <w:autoSpaceDE w:val="0"/>
              <w:autoSpaceDN w:val="0"/>
              <w:adjustRightInd w:val="0"/>
              <w:spacing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xml:space="preserve">(b) </w:t>
            </w:r>
            <w:r w:rsidR="00DB1B28" w:rsidRPr="00D27EA1">
              <w:rPr>
                <w:rFonts w:ascii="Arial Narrow" w:hAnsi="Arial Narrow" w:cs="Arial"/>
                <w:color w:val="000000"/>
                <w:sz w:val="15"/>
                <w:szCs w:val="15"/>
                <w:lang w:val="fr-FR"/>
              </w:rPr>
              <w:t>à</w:t>
            </w:r>
            <w:r w:rsidRPr="00D27EA1">
              <w:rPr>
                <w:rFonts w:ascii="Arial Narrow" w:hAnsi="Arial Narrow" w:cs="Arial"/>
                <w:color w:val="000000"/>
                <w:sz w:val="15"/>
                <w:szCs w:val="15"/>
                <w:lang w:val="fr-FR"/>
              </w:rPr>
              <w:t xml:space="preserve"> moyen terme : part de l’aide couverte par les plans indicatifs </w:t>
            </w:r>
            <w:r w:rsidR="00DB1B28" w:rsidRPr="00D27EA1">
              <w:rPr>
                <w:rFonts w:ascii="Arial Narrow" w:hAnsi="Arial Narrow" w:cs="Arial"/>
                <w:color w:val="000000"/>
                <w:sz w:val="15"/>
                <w:szCs w:val="15"/>
                <w:lang w:val="fr-FR"/>
              </w:rPr>
              <w:t>prévisionnels</w:t>
            </w:r>
            <w:r w:rsidRPr="00D27EA1">
              <w:rPr>
                <w:rFonts w:ascii="Arial Narrow" w:hAnsi="Arial Narrow" w:cs="Arial"/>
                <w:color w:val="000000"/>
                <w:sz w:val="15"/>
                <w:szCs w:val="15"/>
                <w:lang w:val="fr-FR"/>
              </w:rPr>
              <w:t xml:space="preserve"> de </w:t>
            </w:r>
            <w:r w:rsidR="00DB1B28" w:rsidRPr="00D27EA1">
              <w:rPr>
                <w:rFonts w:ascii="Arial Narrow" w:hAnsi="Arial Narrow" w:cs="Arial"/>
                <w:color w:val="000000"/>
                <w:sz w:val="15"/>
                <w:szCs w:val="15"/>
                <w:lang w:val="fr-FR"/>
              </w:rPr>
              <w:t>dépenses</w:t>
            </w:r>
            <w:r w:rsidRPr="00D27EA1">
              <w:rPr>
                <w:rFonts w:ascii="Arial Narrow" w:hAnsi="Arial Narrow" w:cs="Arial"/>
                <w:color w:val="000000"/>
                <w:sz w:val="15"/>
                <w:szCs w:val="15"/>
                <w:lang w:val="fr-FR"/>
              </w:rPr>
              <w:t>, fournis au niveau national.</w:t>
            </w:r>
          </w:p>
        </w:tc>
        <w:tc>
          <w:tcPr>
            <w:tcW w:w="2127" w:type="dxa"/>
            <w:shd w:val="clear" w:color="auto" w:fill="B5EDB5"/>
          </w:tcPr>
          <w:p w14:paraId="6102FDE6" w14:textId="2198092F" w:rsidR="00785FFC" w:rsidRPr="00D27EA1" w:rsidRDefault="00785FFC" w:rsidP="00BC2B3B">
            <w:pPr>
              <w:spacing w:after="200" w:line="276" w:lineRule="auto"/>
              <w:rPr>
                <w:rFonts w:ascii="Arial Narrow" w:hAnsi="Arial Narrow"/>
                <w:b/>
                <w:bCs/>
                <w:sz w:val="15"/>
                <w:szCs w:val="15"/>
                <w:lang w:val="fr-FR"/>
              </w:rPr>
            </w:pPr>
            <w:r w:rsidRPr="00D27EA1">
              <w:rPr>
                <w:rFonts w:ascii="Arial Narrow" w:hAnsi="Arial Narrow"/>
                <w:sz w:val="15"/>
                <w:szCs w:val="15"/>
                <w:lang w:val="fr-FR"/>
              </w:rPr>
              <w:t xml:space="preserve">a) </w:t>
            </w:r>
            <w:r w:rsidR="000A1F56" w:rsidRPr="00D27EA1">
              <w:rPr>
                <w:rFonts w:ascii="Arial Narrow" w:hAnsi="Arial Narrow"/>
                <w:sz w:val="15"/>
                <w:szCs w:val="15"/>
                <w:lang w:val="fr-FR"/>
              </w:rPr>
              <w:t>annuel :</w:t>
            </w:r>
            <w:r w:rsidRPr="00D27EA1">
              <w:rPr>
                <w:rFonts w:ascii="Arial Narrow" w:hAnsi="Arial Narrow"/>
                <w:sz w:val="15"/>
                <w:szCs w:val="15"/>
                <w:lang w:val="fr-FR"/>
              </w:rPr>
              <w:t xml:space="preserve"> % </w:t>
            </w:r>
            <w:r w:rsidR="000A1F56" w:rsidRPr="00D27EA1">
              <w:rPr>
                <w:rFonts w:ascii="Arial Narrow" w:hAnsi="Arial Narrow"/>
                <w:sz w:val="15"/>
                <w:szCs w:val="15"/>
                <w:lang w:val="fr-FR"/>
              </w:rPr>
              <w:t xml:space="preserve">de l’aide </w:t>
            </w:r>
            <w:r w:rsidR="0089191C" w:rsidRPr="00D27EA1">
              <w:rPr>
                <w:rFonts w:ascii="Arial Narrow" w:hAnsi="Arial Narrow"/>
                <w:sz w:val="15"/>
                <w:szCs w:val="15"/>
                <w:lang w:val="fr-FR"/>
              </w:rPr>
              <w:t xml:space="preserve">destinée au secteur de la santé </w:t>
            </w:r>
            <w:r w:rsidR="000A1F56" w:rsidRPr="00D27EA1">
              <w:rPr>
                <w:rFonts w:ascii="Arial Narrow" w:hAnsi="Arial Narrow"/>
                <w:sz w:val="15"/>
                <w:szCs w:val="15"/>
                <w:lang w:val="fr-FR"/>
              </w:rPr>
              <w:t xml:space="preserve">décaissée au cours de l’exercice budgétaire pour lequel elle était prévue </w:t>
            </w:r>
          </w:p>
          <w:p w14:paraId="0A1864C6" w14:textId="5809BD58" w:rsidR="00785FFC" w:rsidRPr="00CC4E8F" w:rsidRDefault="00785FFC" w:rsidP="00CC4E8F">
            <w:pPr>
              <w:spacing w:after="200" w:line="276" w:lineRule="auto"/>
              <w:rPr>
                <w:rFonts w:ascii="Arial Narrow" w:hAnsi="Arial Narrow"/>
                <w:i/>
                <w:iCs/>
                <w:sz w:val="15"/>
                <w:szCs w:val="15"/>
                <w:lang w:val="fr-FR"/>
              </w:rPr>
            </w:pPr>
            <w:r w:rsidRPr="00D27EA1">
              <w:rPr>
                <w:rFonts w:ascii="Arial Narrow" w:hAnsi="Arial Narrow"/>
                <w:i/>
                <w:iCs/>
                <w:sz w:val="15"/>
                <w:szCs w:val="15"/>
                <w:lang w:val="fr-FR"/>
              </w:rPr>
              <w:t xml:space="preserve">b) </w:t>
            </w:r>
            <w:r w:rsidR="000A1F56" w:rsidRPr="00D27EA1">
              <w:rPr>
                <w:rFonts w:ascii="Arial Narrow" w:hAnsi="Arial Narrow"/>
                <w:i/>
                <w:iCs/>
                <w:sz w:val="15"/>
                <w:szCs w:val="15"/>
                <w:lang w:val="fr-FR"/>
              </w:rPr>
              <w:t>voir note</w:t>
            </w:r>
          </w:p>
        </w:tc>
        <w:tc>
          <w:tcPr>
            <w:tcW w:w="2126" w:type="dxa"/>
            <w:shd w:val="clear" w:color="auto" w:fill="B5EDB5"/>
          </w:tcPr>
          <w:p w14:paraId="50F6D309" w14:textId="1BC462A9" w:rsidR="00785FFC" w:rsidRPr="00D27EA1" w:rsidRDefault="00785FFC" w:rsidP="00CC4E8F">
            <w:pPr>
              <w:spacing w:after="200" w:line="276" w:lineRule="auto"/>
              <w:rPr>
                <w:rFonts w:ascii="Arial Narrow" w:hAnsi="Arial Narrow"/>
                <w:sz w:val="15"/>
                <w:szCs w:val="15"/>
                <w:lang w:val="fr-FR"/>
              </w:rPr>
            </w:pPr>
            <w:r w:rsidRPr="00D27EA1">
              <w:rPr>
                <w:rFonts w:ascii="Arial Narrow" w:hAnsi="Arial Narrow"/>
                <w:sz w:val="15"/>
                <w:szCs w:val="15"/>
                <w:lang w:val="fr-FR"/>
              </w:rPr>
              <w:t>a) annu</w:t>
            </w:r>
            <w:r w:rsidR="000A1F56" w:rsidRPr="00D27EA1">
              <w:rPr>
                <w:rFonts w:ascii="Arial Narrow" w:hAnsi="Arial Narrow"/>
                <w:sz w:val="15"/>
                <w:szCs w:val="15"/>
                <w:lang w:val="fr-FR"/>
              </w:rPr>
              <w:t>e</w:t>
            </w:r>
            <w:r w:rsidRPr="00D27EA1">
              <w:rPr>
                <w:rFonts w:ascii="Arial Narrow" w:hAnsi="Arial Narrow"/>
                <w:sz w:val="15"/>
                <w:szCs w:val="15"/>
                <w:lang w:val="fr-FR"/>
              </w:rPr>
              <w:t>l</w:t>
            </w:r>
            <w:r w:rsidR="000A1F56" w:rsidRPr="00D27EA1">
              <w:rPr>
                <w:rFonts w:ascii="Arial Narrow" w:hAnsi="Arial Narrow"/>
                <w:sz w:val="15"/>
                <w:szCs w:val="15"/>
                <w:lang w:val="fr-FR"/>
              </w:rPr>
              <w:t> :</w:t>
            </w:r>
            <w:r w:rsidRPr="00D27EA1">
              <w:rPr>
                <w:rFonts w:ascii="Arial Narrow" w:hAnsi="Arial Narrow"/>
                <w:sz w:val="15"/>
                <w:szCs w:val="15"/>
                <w:lang w:val="fr-FR"/>
              </w:rPr>
              <w:t xml:space="preserve"> % </w:t>
            </w:r>
            <w:r w:rsidR="000A1F56" w:rsidRPr="00D27EA1">
              <w:rPr>
                <w:rFonts w:ascii="Arial Narrow" w:hAnsi="Arial Narrow"/>
                <w:sz w:val="15"/>
                <w:szCs w:val="15"/>
                <w:lang w:val="fr-FR"/>
              </w:rPr>
              <w:t>de</w:t>
            </w:r>
            <w:r w:rsidR="0089191C" w:rsidRPr="00D27EA1">
              <w:rPr>
                <w:rFonts w:ascii="Arial Narrow" w:hAnsi="Arial Narrow"/>
                <w:sz w:val="15"/>
                <w:szCs w:val="15"/>
                <w:lang w:val="fr-FR"/>
              </w:rPr>
              <w:t xml:space="preserve">s </w:t>
            </w:r>
            <w:r w:rsidR="0089191C" w:rsidRPr="00D27EA1">
              <w:rPr>
                <w:rFonts w:ascii="Arial Narrow" w:hAnsi="Arial Narrow"/>
                <w:b/>
                <w:sz w:val="15"/>
                <w:szCs w:val="15"/>
                <w:lang w:val="fr-FR"/>
              </w:rPr>
              <w:t>décaissements</w:t>
            </w:r>
            <w:r w:rsidR="0089191C" w:rsidRPr="00D27EA1">
              <w:rPr>
                <w:rFonts w:ascii="Arial Narrow" w:hAnsi="Arial Narrow"/>
                <w:sz w:val="15"/>
                <w:szCs w:val="15"/>
                <w:lang w:val="fr-FR"/>
              </w:rPr>
              <w:t xml:space="preserve"> d</w:t>
            </w:r>
            <w:r w:rsidR="000A1F56" w:rsidRPr="00D27EA1">
              <w:rPr>
                <w:rFonts w:ascii="Arial Narrow" w:hAnsi="Arial Narrow"/>
                <w:sz w:val="15"/>
                <w:szCs w:val="15"/>
                <w:lang w:val="fr-FR"/>
              </w:rPr>
              <w:t xml:space="preserve">’aide </w:t>
            </w:r>
            <w:r w:rsidR="0089191C" w:rsidRPr="00D27EA1">
              <w:rPr>
                <w:rFonts w:ascii="Arial Narrow" w:hAnsi="Arial Narrow"/>
                <w:sz w:val="15"/>
                <w:szCs w:val="15"/>
                <w:lang w:val="fr-FR"/>
              </w:rPr>
              <w:t xml:space="preserve">destinée </w:t>
            </w:r>
            <w:r w:rsidR="000A1F56" w:rsidRPr="00D27EA1">
              <w:rPr>
                <w:rFonts w:ascii="Arial Narrow" w:hAnsi="Arial Narrow"/>
                <w:sz w:val="15"/>
                <w:szCs w:val="15"/>
                <w:lang w:val="fr-FR"/>
              </w:rPr>
              <w:t>au secteur de la santé</w:t>
            </w:r>
            <w:r w:rsidR="0089191C" w:rsidRPr="00D27EA1">
              <w:rPr>
                <w:rFonts w:ascii="Arial Narrow" w:hAnsi="Arial Narrow"/>
                <w:sz w:val="15"/>
                <w:szCs w:val="15"/>
                <w:lang w:val="fr-FR"/>
              </w:rPr>
              <w:t xml:space="preserve"> </w:t>
            </w:r>
            <w:r w:rsidR="005B4EA1" w:rsidRPr="00D27EA1">
              <w:rPr>
                <w:rFonts w:ascii="Arial Narrow" w:hAnsi="Arial Narrow"/>
                <w:b/>
                <w:sz w:val="15"/>
                <w:szCs w:val="15"/>
                <w:lang w:val="fr-FR"/>
              </w:rPr>
              <w:t>opérés selon les calendriers convenus</w:t>
            </w:r>
            <w:r w:rsidR="005B4EA1" w:rsidRPr="00D27EA1">
              <w:rPr>
                <w:rFonts w:ascii="Arial Narrow" w:hAnsi="Arial Narrow"/>
                <w:sz w:val="15"/>
                <w:szCs w:val="15"/>
                <w:lang w:val="fr-FR"/>
              </w:rPr>
              <w:t xml:space="preserve"> dans les cadres annuels</w:t>
            </w:r>
            <w:r w:rsidR="00D27EA1">
              <w:rPr>
                <w:rFonts w:ascii="Arial Narrow" w:hAnsi="Arial Narrow"/>
                <w:sz w:val="15"/>
                <w:szCs w:val="15"/>
                <w:lang w:val="fr-FR"/>
              </w:rPr>
              <w:t xml:space="preserve"> </w:t>
            </w:r>
          </w:p>
          <w:p w14:paraId="280AE25A" w14:textId="4B98CEFE" w:rsidR="00785FFC" w:rsidRPr="00D27EA1" w:rsidRDefault="00785FFC" w:rsidP="00DB62C7">
            <w:pPr>
              <w:rPr>
                <w:rFonts w:ascii="Arial Narrow" w:hAnsi="Arial Narrow"/>
                <w:sz w:val="15"/>
                <w:szCs w:val="15"/>
                <w:lang w:val="fr-FR"/>
              </w:rPr>
            </w:pPr>
            <w:r w:rsidRPr="00D27EA1">
              <w:rPr>
                <w:rFonts w:ascii="Arial Narrow" w:hAnsi="Arial Narrow"/>
                <w:sz w:val="15"/>
                <w:szCs w:val="15"/>
                <w:lang w:val="fr-FR"/>
              </w:rPr>
              <w:t xml:space="preserve">b) </w:t>
            </w:r>
            <w:r w:rsidR="005B4EA1" w:rsidRPr="00D27EA1">
              <w:rPr>
                <w:rFonts w:ascii="Arial Narrow" w:hAnsi="Arial Narrow"/>
                <w:sz w:val="15"/>
                <w:szCs w:val="15"/>
                <w:lang w:val="fr-FR"/>
              </w:rPr>
              <w:t>moyen</w:t>
            </w:r>
            <w:r w:rsidR="00317E03" w:rsidRPr="00D27EA1">
              <w:rPr>
                <w:rFonts w:ascii="Arial Narrow" w:hAnsi="Arial Narrow"/>
                <w:sz w:val="15"/>
                <w:szCs w:val="15"/>
                <w:lang w:val="fr-FR"/>
              </w:rPr>
              <w:t xml:space="preserve"> </w:t>
            </w:r>
            <w:r w:rsidRPr="00D27EA1">
              <w:rPr>
                <w:rFonts w:ascii="Arial Narrow" w:hAnsi="Arial Narrow"/>
                <w:sz w:val="15"/>
                <w:szCs w:val="15"/>
                <w:lang w:val="fr-FR"/>
              </w:rPr>
              <w:t>term</w:t>
            </w:r>
            <w:r w:rsidR="005B4EA1" w:rsidRPr="00D27EA1">
              <w:rPr>
                <w:rFonts w:ascii="Arial Narrow" w:hAnsi="Arial Narrow"/>
                <w:sz w:val="15"/>
                <w:szCs w:val="15"/>
                <w:lang w:val="fr-FR"/>
              </w:rPr>
              <w:t>e :</w:t>
            </w:r>
            <w:r w:rsidRPr="00D27EA1">
              <w:rPr>
                <w:rFonts w:ascii="Arial Narrow" w:hAnsi="Arial Narrow"/>
                <w:sz w:val="15"/>
                <w:szCs w:val="15"/>
                <w:lang w:val="fr-FR"/>
              </w:rPr>
              <w:t xml:space="preserve"> % </w:t>
            </w:r>
            <w:r w:rsidR="005850B8" w:rsidRPr="00D27EA1">
              <w:rPr>
                <w:rFonts w:ascii="Arial Narrow" w:hAnsi="Arial Narrow"/>
                <w:sz w:val="15"/>
                <w:szCs w:val="15"/>
                <w:lang w:val="fr-FR"/>
              </w:rPr>
              <w:t xml:space="preserve">de l’aide destinée au secteur de la santé fourni par le biais d’engagements pluriannuels </w:t>
            </w:r>
          </w:p>
        </w:tc>
        <w:tc>
          <w:tcPr>
            <w:tcW w:w="2380" w:type="dxa"/>
          </w:tcPr>
          <w:p w14:paraId="3E8F414E" w14:textId="77777777" w:rsidR="009F196A" w:rsidRDefault="00AB4931"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Un indicateur pour Paris et Busan et un ind</w:t>
            </w:r>
            <w:r w:rsidR="009F196A">
              <w:rPr>
                <w:rFonts w:ascii="Arial Narrow" w:hAnsi="Arial Narrow"/>
                <w:sz w:val="15"/>
                <w:szCs w:val="15"/>
                <w:lang w:val="fr-FR"/>
              </w:rPr>
              <w:t xml:space="preserve">icateur utilisé par </w:t>
            </w:r>
            <w:proofErr w:type="spellStart"/>
            <w:r w:rsidR="009F196A">
              <w:rPr>
                <w:rFonts w:ascii="Arial Narrow" w:hAnsi="Arial Narrow"/>
                <w:sz w:val="15"/>
                <w:szCs w:val="15"/>
                <w:lang w:val="fr-FR"/>
              </w:rPr>
              <w:t>IHP+Results</w:t>
            </w:r>
            <w:proofErr w:type="spellEnd"/>
          </w:p>
          <w:p w14:paraId="7285F8D4" w14:textId="36C855C5" w:rsidR="00785FFC" w:rsidRPr="00D27EA1" w:rsidRDefault="00785FFC"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Identifi</w:t>
            </w:r>
            <w:r w:rsidR="00AB4931" w:rsidRPr="00D27EA1">
              <w:rPr>
                <w:rFonts w:ascii="Arial Narrow" w:hAnsi="Arial Narrow"/>
                <w:sz w:val="15"/>
                <w:szCs w:val="15"/>
                <w:lang w:val="fr-FR"/>
              </w:rPr>
              <w:t xml:space="preserve">é comme l’un des indicateurs les plus importants et les plus pertinents par </w:t>
            </w:r>
            <w:r w:rsidR="00317E03" w:rsidRPr="00D27EA1">
              <w:rPr>
                <w:rFonts w:ascii="Arial Narrow" w:hAnsi="Arial Narrow"/>
                <w:sz w:val="15"/>
                <w:szCs w:val="15"/>
                <w:lang w:val="fr-FR"/>
              </w:rPr>
              <w:t xml:space="preserve">les </w:t>
            </w:r>
            <w:r w:rsidR="00AB4931" w:rsidRPr="00D27EA1">
              <w:rPr>
                <w:rFonts w:ascii="Arial Narrow" w:hAnsi="Arial Narrow"/>
                <w:sz w:val="15"/>
                <w:szCs w:val="15"/>
                <w:lang w:val="fr-FR"/>
              </w:rPr>
              <w:t>pays</w:t>
            </w:r>
            <w:r w:rsidR="00D27EA1">
              <w:rPr>
                <w:rFonts w:ascii="Arial Narrow" w:hAnsi="Arial Narrow"/>
                <w:sz w:val="15"/>
                <w:szCs w:val="15"/>
                <w:lang w:val="fr-FR"/>
              </w:rPr>
              <w:t xml:space="preserve"> </w:t>
            </w:r>
          </w:p>
          <w:p w14:paraId="18A7D474" w14:textId="0A44F605" w:rsidR="00785FFC" w:rsidRPr="00D27EA1" w:rsidRDefault="00975387"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Les données relatives aux tendances sont déjà disponibles pour la moitié des signataires du IHP+</w:t>
            </w:r>
          </w:p>
        </w:tc>
      </w:tr>
      <w:tr w:rsidR="00785FFC" w:rsidRPr="004545B0" w14:paraId="251E33A1" w14:textId="77777777" w:rsidTr="00D27EA1">
        <w:trPr>
          <w:trHeight w:val="1206"/>
        </w:trPr>
        <w:tc>
          <w:tcPr>
            <w:tcW w:w="2943" w:type="dxa"/>
            <w:shd w:val="clear" w:color="auto" w:fill="C9DBFF"/>
          </w:tcPr>
          <w:p w14:paraId="5E92F060" w14:textId="18C925E7" w:rsidR="00785FFC" w:rsidRPr="00D27EA1" w:rsidRDefault="00785FFC" w:rsidP="00BC2B3B">
            <w:pPr>
              <w:spacing w:after="120" w:line="276" w:lineRule="auto"/>
              <w:rPr>
                <w:rFonts w:ascii="Arial Narrow" w:hAnsi="Arial Narrow"/>
                <w:b/>
                <w:bCs/>
                <w:sz w:val="15"/>
                <w:szCs w:val="15"/>
                <w:lang w:val="fr-FR"/>
              </w:rPr>
            </w:pPr>
            <w:r w:rsidRPr="00D27EA1">
              <w:rPr>
                <w:rFonts w:ascii="Arial Narrow" w:hAnsi="Arial Narrow"/>
                <w:b/>
                <w:bCs/>
                <w:sz w:val="15"/>
                <w:szCs w:val="15"/>
                <w:lang w:val="fr-FR"/>
              </w:rPr>
              <w:t xml:space="preserve">6. </w:t>
            </w:r>
            <w:r w:rsidR="00DB1B28" w:rsidRPr="00D27EA1">
              <w:rPr>
                <w:rFonts w:ascii="Arial Narrow" w:hAnsi="Arial Narrow"/>
                <w:b/>
                <w:bCs/>
                <w:sz w:val="15"/>
                <w:szCs w:val="15"/>
                <w:lang w:val="fr-FR"/>
              </w:rPr>
              <w:t>L’aide est inscrite aux budgets qui sont soumis au contrôle parlementaire</w:t>
            </w:r>
          </w:p>
          <w:p w14:paraId="63B36524" w14:textId="77777777" w:rsidR="00785FFC" w:rsidRDefault="00DB1B28" w:rsidP="00D27EA1">
            <w:pPr>
              <w:spacing w:line="276" w:lineRule="auto"/>
              <w:rPr>
                <w:rFonts w:ascii="Arial Narrow" w:hAnsi="Arial Narrow"/>
                <w:sz w:val="15"/>
                <w:szCs w:val="15"/>
                <w:lang w:val="fr-FR"/>
              </w:rPr>
            </w:pPr>
            <w:r w:rsidRPr="00D27EA1">
              <w:rPr>
                <w:rFonts w:ascii="Arial Narrow" w:hAnsi="Arial Narrow"/>
                <w:sz w:val="15"/>
                <w:szCs w:val="15"/>
                <w:lang w:val="fr-FR"/>
              </w:rPr>
              <w:t>% des prévisions de décaissements</w:t>
            </w:r>
            <w:r w:rsidR="00D27EA1">
              <w:rPr>
                <w:rFonts w:ascii="Arial Narrow" w:hAnsi="Arial Narrow"/>
                <w:sz w:val="15"/>
                <w:szCs w:val="15"/>
                <w:lang w:val="fr-FR"/>
              </w:rPr>
              <w:t xml:space="preserve"> d’aide </w:t>
            </w:r>
            <w:r w:rsidRPr="00D27EA1">
              <w:rPr>
                <w:rFonts w:ascii="Arial Narrow" w:hAnsi="Arial Narrow"/>
                <w:sz w:val="15"/>
                <w:szCs w:val="15"/>
                <w:lang w:val="fr-FR"/>
              </w:rPr>
              <w:t>prises en compte dans le budget annuel approuvé par les assemblées législatives des pays en développement</w:t>
            </w:r>
            <w:r w:rsidR="00785FFC" w:rsidRPr="00D27EA1">
              <w:rPr>
                <w:rFonts w:ascii="Arial Narrow" w:hAnsi="Arial Narrow"/>
                <w:sz w:val="15"/>
                <w:szCs w:val="15"/>
                <w:lang w:val="fr-FR"/>
              </w:rPr>
              <w:t>.</w:t>
            </w:r>
          </w:p>
          <w:p w14:paraId="461C79E7" w14:textId="0C45ED8C" w:rsidR="00CC4E8F" w:rsidRPr="00D27EA1" w:rsidRDefault="00CC4E8F" w:rsidP="00D27EA1">
            <w:pPr>
              <w:spacing w:line="276" w:lineRule="auto"/>
              <w:rPr>
                <w:rFonts w:ascii="Arial Narrow" w:hAnsi="Arial Narrow"/>
                <w:sz w:val="15"/>
                <w:szCs w:val="15"/>
                <w:lang w:val="fr-FR"/>
              </w:rPr>
            </w:pPr>
          </w:p>
        </w:tc>
        <w:tc>
          <w:tcPr>
            <w:tcW w:w="2127" w:type="dxa"/>
            <w:shd w:val="clear" w:color="auto" w:fill="B5EDB5"/>
          </w:tcPr>
          <w:p w14:paraId="4D7D6364" w14:textId="5CE00B66" w:rsidR="00785FFC" w:rsidRPr="00D27EA1" w:rsidRDefault="00975387" w:rsidP="00BC2B3B">
            <w:pPr>
              <w:spacing w:after="200" w:line="276" w:lineRule="auto"/>
              <w:rPr>
                <w:rFonts w:ascii="Arial Narrow" w:hAnsi="Arial Narrow"/>
                <w:i/>
                <w:iCs/>
                <w:sz w:val="15"/>
                <w:szCs w:val="15"/>
                <w:lang w:val="fr-FR"/>
              </w:rPr>
            </w:pPr>
            <w:r w:rsidRPr="00D27EA1">
              <w:rPr>
                <w:rFonts w:ascii="Arial Narrow" w:hAnsi="Arial Narrow"/>
                <w:i/>
                <w:iCs/>
                <w:sz w:val="15"/>
                <w:szCs w:val="15"/>
                <w:lang w:val="fr-FR"/>
              </w:rPr>
              <w:t>Voir note</w:t>
            </w:r>
          </w:p>
        </w:tc>
        <w:tc>
          <w:tcPr>
            <w:tcW w:w="2126" w:type="dxa"/>
            <w:shd w:val="clear" w:color="auto" w:fill="B5EDB5"/>
          </w:tcPr>
          <w:p w14:paraId="5E5AD050" w14:textId="2DAB7B23" w:rsidR="00785FFC" w:rsidRPr="00D27EA1" w:rsidRDefault="00785FFC" w:rsidP="00DB62C7">
            <w:pPr>
              <w:rPr>
                <w:rFonts w:ascii="Arial Narrow" w:hAnsi="Arial Narrow"/>
                <w:sz w:val="15"/>
                <w:szCs w:val="15"/>
                <w:lang w:val="fr-FR"/>
              </w:rPr>
            </w:pPr>
            <w:r w:rsidRPr="00D27EA1">
              <w:rPr>
                <w:rFonts w:ascii="Arial Narrow" w:hAnsi="Arial Narrow"/>
                <w:sz w:val="15"/>
                <w:szCs w:val="15"/>
                <w:lang w:val="fr-FR"/>
              </w:rPr>
              <w:t xml:space="preserve">% </w:t>
            </w:r>
            <w:r w:rsidR="008205BF" w:rsidRPr="00D27EA1">
              <w:rPr>
                <w:rFonts w:ascii="Arial Narrow" w:hAnsi="Arial Narrow"/>
                <w:sz w:val="15"/>
                <w:szCs w:val="15"/>
                <w:lang w:val="fr-FR"/>
              </w:rPr>
              <w:t xml:space="preserve">des flux d’aide destinés au secteur de la santé </w:t>
            </w:r>
            <w:r w:rsidR="008205BF" w:rsidRPr="00D27EA1">
              <w:rPr>
                <w:rFonts w:ascii="Arial Narrow" w:hAnsi="Arial Narrow"/>
                <w:b/>
                <w:sz w:val="15"/>
                <w:szCs w:val="15"/>
                <w:lang w:val="fr-FR"/>
              </w:rPr>
              <w:t>rapporté dans le budget national pour le secteur de la santé</w:t>
            </w:r>
            <w:r w:rsidR="008205BF" w:rsidRPr="00D27EA1">
              <w:rPr>
                <w:rFonts w:ascii="Arial Narrow" w:hAnsi="Arial Narrow"/>
                <w:sz w:val="15"/>
                <w:szCs w:val="15"/>
                <w:lang w:val="fr-FR"/>
              </w:rPr>
              <w:t xml:space="preserve"> </w:t>
            </w:r>
          </w:p>
        </w:tc>
        <w:tc>
          <w:tcPr>
            <w:tcW w:w="2380" w:type="dxa"/>
          </w:tcPr>
          <w:p w14:paraId="16968011" w14:textId="77777777" w:rsidR="009F196A" w:rsidRDefault="009C20D5"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Un indicateur pour Paris et Busan et un ind</w:t>
            </w:r>
            <w:r w:rsidR="009F196A">
              <w:rPr>
                <w:rFonts w:ascii="Arial Narrow" w:hAnsi="Arial Narrow"/>
                <w:sz w:val="15"/>
                <w:szCs w:val="15"/>
                <w:lang w:val="fr-FR"/>
              </w:rPr>
              <w:t xml:space="preserve">icateur utilisé par </w:t>
            </w:r>
            <w:proofErr w:type="spellStart"/>
            <w:r w:rsidR="009F196A">
              <w:rPr>
                <w:rFonts w:ascii="Arial Narrow" w:hAnsi="Arial Narrow"/>
                <w:sz w:val="15"/>
                <w:szCs w:val="15"/>
                <w:lang w:val="fr-FR"/>
              </w:rPr>
              <w:t>IHP+Results</w:t>
            </w:r>
            <w:proofErr w:type="spellEnd"/>
          </w:p>
          <w:p w14:paraId="763AC20A" w14:textId="77BFDD37" w:rsidR="00785FFC" w:rsidRPr="00D27EA1" w:rsidRDefault="009C20D5"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Pour l’indicateur destiné au gouvernement</w:t>
            </w:r>
            <w:r w:rsidR="00785FFC" w:rsidRPr="00D27EA1">
              <w:rPr>
                <w:rFonts w:ascii="Arial Narrow" w:hAnsi="Arial Narrow"/>
                <w:sz w:val="15"/>
                <w:szCs w:val="15"/>
                <w:lang w:val="fr-FR"/>
              </w:rPr>
              <w:t xml:space="preserve">, </w:t>
            </w:r>
            <w:r w:rsidRPr="00D27EA1">
              <w:rPr>
                <w:rFonts w:ascii="Arial Narrow" w:hAnsi="Arial Narrow"/>
                <w:sz w:val="15"/>
                <w:szCs w:val="15"/>
                <w:lang w:val="fr-FR"/>
              </w:rPr>
              <w:t>voir note</w:t>
            </w:r>
          </w:p>
          <w:p w14:paraId="4732FDF5" w14:textId="77777777" w:rsidR="00785FFC" w:rsidRPr="00D27EA1" w:rsidRDefault="00785FFC" w:rsidP="00BC2B3B">
            <w:pPr>
              <w:ind w:left="175"/>
              <w:contextualSpacing/>
              <w:rPr>
                <w:rFonts w:ascii="Arial Narrow" w:hAnsi="Arial Narrow"/>
                <w:sz w:val="15"/>
                <w:szCs w:val="15"/>
                <w:lang w:val="fr-FR"/>
              </w:rPr>
            </w:pPr>
          </w:p>
          <w:p w14:paraId="0A457174" w14:textId="77777777" w:rsidR="00785FFC" w:rsidRPr="00D27EA1" w:rsidRDefault="00785FFC" w:rsidP="00BC2B3B">
            <w:pPr>
              <w:ind w:left="175"/>
              <w:contextualSpacing/>
              <w:rPr>
                <w:rFonts w:ascii="Arial Narrow" w:hAnsi="Arial Narrow"/>
                <w:sz w:val="15"/>
                <w:szCs w:val="15"/>
                <w:lang w:val="fr-FR"/>
              </w:rPr>
            </w:pPr>
          </w:p>
        </w:tc>
      </w:tr>
      <w:tr w:rsidR="00785FFC" w:rsidRPr="004545B0" w14:paraId="6E9A7604" w14:textId="77777777" w:rsidTr="00BC2B3B">
        <w:tc>
          <w:tcPr>
            <w:tcW w:w="2943" w:type="dxa"/>
            <w:shd w:val="clear" w:color="auto" w:fill="C9DBFF"/>
          </w:tcPr>
          <w:p w14:paraId="12AF5BB7" w14:textId="26BBD409" w:rsidR="00785FFC" w:rsidRPr="00D27EA1" w:rsidRDefault="00785FFC" w:rsidP="00BC2B3B">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b/>
                <w:bCs/>
                <w:color w:val="000000"/>
                <w:sz w:val="15"/>
                <w:szCs w:val="15"/>
                <w:lang w:val="fr-FR"/>
              </w:rPr>
              <w:t xml:space="preserve">7. </w:t>
            </w:r>
            <w:r w:rsidR="00897996" w:rsidRPr="00D27EA1">
              <w:rPr>
                <w:rFonts w:ascii="Arial Narrow" w:hAnsi="Arial Narrow" w:cs="Arial"/>
                <w:b/>
                <w:bCs/>
                <w:color w:val="000000"/>
                <w:sz w:val="15"/>
                <w:szCs w:val="15"/>
                <w:lang w:val="fr-FR"/>
              </w:rPr>
              <w:t>La redevabilité́ mutuelle entre les acteurs de la coopération pour le développement est renforcée grâce à des examens inclusifs</w:t>
            </w:r>
          </w:p>
          <w:p w14:paraId="6C5E461B" w14:textId="5EC6F7E6" w:rsidR="00785FFC" w:rsidRPr="00D27EA1" w:rsidRDefault="00CA4112" w:rsidP="00CA4112">
            <w:pPr>
              <w:autoSpaceDE w:val="0"/>
              <w:autoSpaceDN w:val="0"/>
              <w:adjustRightInd w:val="0"/>
              <w:spacing w:after="20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des pays qui effectuent des évaluations mutuelles i</w:t>
            </w:r>
            <w:r w:rsidR="00D27EA1">
              <w:rPr>
                <w:rFonts w:ascii="Arial Narrow" w:hAnsi="Arial Narrow" w:cs="Arial"/>
                <w:color w:val="000000"/>
                <w:sz w:val="15"/>
                <w:szCs w:val="15"/>
                <w:lang w:val="fr-FR"/>
              </w:rPr>
              <w:t xml:space="preserve">nclusives des progrès accomplis </w:t>
            </w:r>
            <w:r w:rsidRPr="00D27EA1">
              <w:rPr>
                <w:rFonts w:ascii="Arial Narrow" w:hAnsi="Arial Narrow" w:cs="Arial"/>
                <w:color w:val="000000"/>
                <w:sz w:val="15"/>
                <w:szCs w:val="15"/>
                <w:lang w:val="fr-FR"/>
              </w:rPr>
              <w:t>en mati</w:t>
            </w:r>
            <w:r w:rsidR="00D27EA1">
              <w:rPr>
                <w:rFonts w:ascii="Arial Narrow" w:hAnsi="Arial Narrow" w:cs="Arial"/>
                <w:color w:val="000000"/>
                <w:sz w:val="15"/>
                <w:szCs w:val="15"/>
                <w:lang w:val="fr-FR"/>
              </w:rPr>
              <w:t>ère d’exécution des engagements</w:t>
            </w:r>
            <w:r w:rsidR="00CC4E8F">
              <w:rPr>
                <w:rFonts w:ascii="Arial Narrow" w:hAnsi="Arial Narrow" w:cs="Arial"/>
                <w:color w:val="000000"/>
                <w:sz w:val="15"/>
                <w:szCs w:val="15"/>
                <w:lang w:val="fr-FR"/>
              </w:rPr>
              <w:t xml:space="preserve"> </w:t>
            </w:r>
            <w:r w:rsidRPr="00D27EA1">
              <w:rPr>
                <w:rFonts w:ascii="Arial Narrow" w:hAnsi="Arial Narrow" w:cs="Arial"/>
                <w:color w:val="000000"/>
                <w:sz w:val="15"/>
                <w:szCs w:val="15"/>
                <w:lang w:val="fr-FR"/>
              </w:rPr>
              <w:t>pris.</w:t>
            </w:r>
          </w:p>
        </w:tc>
        <w:tc>
          <w:tcPr>
            <w:tcW w:w="2127" w:type="dxa"/>
            <w:shd w:val="clear" w:color="auto" w:fill="B5EDB5"/>
          </w:tcPr>
          <w:p w14:paraId="5D18CE64" w14:textId="210872A7" w:rsidR="00DC14B6" w:rsidRPr="00D27EA1" w:rsidRDefault="00DC14B6" w:rsidP="00BC2B3B">
            <w:pPr>
              <w:spacing w:after="200" w:line="276" w:lineRule="auto"/>
              <w:rPr>
                <w:rFonts w:ascii="Arial Narrow" w:hAnsi="Arial Narrow"/>
                <w:bCs/>
                <w:sz w:val="15"/>
                <w:szCs w:val="15"/>
                <w:lang w:val="fr-FR"/>
              </w:rPr>
            </w:pPr>
            <w:r w:rsidRPr="00D27EA1">
              <w:rPr>
                <w:rFonts w:ascii="Arial Narrow" w:hAnsi="Arial Narrow"/>
                <w:bCs/>
                <w:sz w:val="15"/>
                <w:szCs w:val="15"/>
                <w:lang w:val="fr-FR"/>
              </w:rPr>
              <w:t xml:space="preserve">Des </w:t>
            </w:r>
            <w:r w:rsidRPr="00D27EA1">
              <w:rPr>
                <w:rFonts w:ascii="Arial Narrow" w:hAnsi="Arial Narrow"/>
                <w:b/>
                <w:bCs/>
                <w:sz w:val="15"/>
                <w:szCs w:val="15"/>
                <w:lang w:val="fr-FR"/>
              </w:rPr>
              <w:t>évaluations mutuelles</w:t>
            </w:r>
            <w:r w:rsidRPr="00D27EA1">
              <w:rPr>
                <w:rFonts w:ascii="Arial Narrow" w:hAnsi="Arial Narrow"/>
                <w:bCs/>
                <w:sz w:val="15"/>
                <w:szCs w:val="15"/>
                <w:lang w:val="fr-FR"/>
              </w:rPr>
              <w:t xml:space="preserve"> des engagements et de la performance du secteur</w:t>
            </w:r>
            <w:r w:rsidR="0072304C" w:rsidRPr="00D27EA1">
              <w:rPr>
                <w:rFonts w:ascii="Arial Narrow" w:hAnsi="Arial Narrow"/>
                <w:bCs/>
                <w:sz w:val="15"/>
                <w:szCs w:val="15"/>
                <w:lang w:val="fr-FR"/>
              </w:rPr>
              <w:t>, tels que des examens annuels conjoints du secteur de la santé, sont mené</w:t>
            </w:r>
            <w:r w:rsidR="00450405" w:rsidRPr="00D27EA1">
              <w:rPr>
                <w:rFonts w:ascii="Arial Narrow" w:hAnsi="Arial Narrow"/>
                <w:bCs/>
                <w:sz w:val="15"/>
                <w:szCs w:val="15"/>
                <w:lang w:val="fr-FR"/>
              </w:rPr>
              <w:t>e</w:t>
            </w:r>
            <w:r w:rsidR="0072304C" w:rsidRPr="00D27EA1">
              <w:rPr>
                <w:rFonts w:ascii="Arial Narrow" w:hAnsi="Arial Narrow"/>
                <w:bCs/>
                <w:sz w:val="15"/>
                <w:szCs w:val="15"/>
                <w:lang w:val="fr-FR"/>
              </w:rPr>
              <w:t xml:space="preserve">s régulièrement et incluent une évaluation des progrès </w:t>
            </w:r>
            <w:r w:rsidR="00450405" w:rsidRPr="00D27EA1">
              <w:rPr>
                <w:rFonts w:ascii="Arial Narrow" w:hAnsi="Arial Narrow"/>
                <w:bCs/>
                <w:sz w:val="15"/>
                <w:szCs w:val="15"/>
                <w:lang w:val="fr-FR"/>
              </w:rPr>
              <w:t>accomplis</w:t>
            </w:r>
            <w:r w:rsidR="00A11373" w:rsidRPr="00D27EA1">
              <w:rPr>
                <w:rFonts w:ascii="Arial Narrow" w:hAnsi="Arial Narrow"/>
                <w:bCs/>
                <w:sz w:val="15"/>
                <w:szCs w:val="15"/>
                <w:lang w:val="fr-FR"/>
              </w:rPr>
              <w:t xml:space="preserve"> s’agissant des engagements pris</w:t>
            </w:r>
            <w:r w:rsidR="00450405" w:rsidRPr="00D27EA1">
              <w:rPr>
                <w:rFonts w:ascii="Arial Narrow" w:hAnsi="Arial Narrow"/>
                <w:bCs/>
                <w:sz w:val="15"/>
                <w:szCs w:val="15"/>
                <w:lang w:val="fr-FR"/>
              </w:rPr>
              <w:t xml:space="preserve"> en matière d’efficacité de l’aide</w:t>
            </w:r>
            <w:r w:rsidR="00D27EA1">
              <w:rPr>
                <w:rFonts w:ascii="Arial Narrow" w:hAnsi="Arial Narrow"/>
                <w:bCs/>
                <w:sz w:val="15"/>
                <w:szCs w:val="15"/>
                <w:lang w:val="fr-FR"/>
              </w:rPr>
              <w:t xml:space="preserve"> </w:t>
            </w:r>
          </w:p>
          <w:p w14:paraId="613B1C86" w14:textId="77777777" w:rsidR="00785FFC" w:rsidRPr="00D27EA1" w:rsidRDefault="00785FFC">
            <w:pPr>
              <w:rPr>
                <w:rFonts w:ascii="Arial Narrow" w:hAnsi="Arial Narrow"/>
                <w:sz w:val="15"/>
                <w:szCs w:val="15"/>
                <w:lang w:val="fr-FR"/>
              </w:rPr>
            </w:pPr>
          </w:p>
        </w:tc>
        <w:tc>
          <w:tcPr>
            <w:tcW w:w="2126" w:type="dxa"/>
            <w:shd w:val="clear" w:color="auto" w:fill="B5EDB5"/>
          </w:tcPr>
          <w:p w14:paraId="33C23CFD" w14:textId="510D2DD9" w:rsidR="00785FFC" w:rsidRPr="00D27EA1" w:rsidRDefault="00785FFC" w:rsidP="00DB62C7">
            <w:pPr>
              <w:rPr>
                <w:rFonts w:ascii="Arial Narrow" w:hAnsi="Arial Narrow"/>
                <w:sz w:val="15"/>
                <w:szCs w:val="15"/>
                <w:lang w:val="fr-FR"/>
              </w:rPr>
            </w:pPr>
            <w:r w:rsidRPr="00D27EA1">
              <w:rPr>
                <w:rFonts w:ascii="Arial Narrow" w:hAnsi="Arial Narrow"/>
                <w:sz w:val="15"/>
                <w:szCs w:val="15"/>
                <w:lang w:val="fr-FR"/>
              </w:rPr>
              <w:t xml:space="preserve">% </w:t>
            </w:r>
            <w:r w:rsidR="00CB170E" w:rsidRPr="00D27EA1">
              <w:rPr>
                <w:rFonts w:ascii="Arial Narrow" w:hAnsi="Arial Narrow"/>
                <w:sz w:val="15"/>
                <w:szCs w:val="15"/>
                <w:lang w:val="fr-FR"/>
              </w:rPr>
              <w:t xml:space="preserve">des pays dans lesquels des </w:t>
            </w:r>
            <w:r w:rsidR="00CB170E" w:rsidRPr="00D27EA1">
              <w:rPr>
                <w:rFonts w:ascii="Arial Narrow" w:hAnsi="Arial Narrow"/>
                <w:b/>
                <w:sz w:val="15"/>
                <w:szCs w:val="15"/>
                <w:lang w:val="fr-FR"/>
              </w:rPr>
              <w:t>évaluations mutuelles</w:t>
            </w:r>
            <w:r w:rsidR="00CB170E" w:rsidRPr="00D27EA1">
              <w:rPr>
                <w:rFonts w:ascii="Arial Narrow" w:hAnsi="Arial Narrow"/>
                <w:sz w:val="15"/>
                <w:szCs w:val="15"/>
                <w:lang w:val="fr-FR"/>
              </w:rPr>
              <w:t xml:space="preserve"> des progrès accomplis </w:t>
            </w:r>
            <w:r w:rsidR="006D0271" w:rsidRPr="00D27EA1">
              <w:rPr>
                <w:rFonts w:ascii="Arial Narrow" w:hAnsi="Arial Narrow"/>
                <w:sz w:val="15"/>
                <w:szCs w:val="15"/>
                <w:lang w:val="fr-FR"/>
              </w:rPr>
              <w:t>concernant la</w:t>
            </w:r>
            <w:r w:rsidR="00CB170E" w:rsidRPr="00D27EA1">
              <w:rPr>
                <w:rFonts w:ascii="Arial Narrow" w:hAnsi="Arial Narrow"/>
                <w:sz w:val="15"/>
                <w:szCs w:val="15"/>
                <w:lang w:val="fr-FR"/>
              </w:rPr>
              <w:t xml:space="preserve"> mise en œuvre des engagements</w:t>
            </w:r>
            <w:r w:rsidR="006D0271" w:rsidRPr="00D27EA1">
              <w:rPr>
                <w:rFonts w:ascii="Arial Narrow" w:hAnsi="Arial Narrow"/>
                <w:sz w:val="15"/>
                <w:szCs w:val="15"/>
                <w:lang w:val="fr-FR"/>
              </w:rPr>
              <w:t xml:space="preserve"> dans le secteur de la santé ont été menées, y compris </w:t>
            </w:r>
            <w:r w:rsidR="00665620" w:rsidRPr="00D27EA1">
              <w:rPr>
                <w:rFonts w:ascii="Arial Narrow" w:hAnsi="Arial Narrow"/>
                <w:sz w:val="15"/>
                <w:szCs w:val="15"/>
                <w:lang w:val="fr-FR"/>
              </w:rPr>
              <w:t xml:space="preserve">en ce qui concerne l’efficacité de l’aide </w:t>
            </w:r>
          </w:p>
        </w:tc>
        <w:tc>
          <w:tcPr>
            <w:tcW w:w="2380" w:type="dxa"/>
          </w:tcPr>
          <w:p w14:paraId="6BAF9990" w14:textId="77777777" w:rsidR="009F196A" w:rsidRDefault="00665620" w:rsidP="00DB62C7">
            <w:pPr>
              <w:numPr>
                <w:ilvl w:val="0"/>
                <w:numId w:val="26"/>
              </w:numPr>
              <w:ind w:left="175" w:hanging="175"/>
              <w:contextualSpacing/>
              <w:rPr>
                <w:rFonts w:ascii="Arial Narrow" w:hAnsi="Arial Narrow"/>
                <w:sz w:val="15"/>
                <w:szCs w:val="15"/>
                <w:lang w:val="fr-FR"/>
              </w:rPr>
            </w:pPr>
            <w:r w:rsidRPr="00D27EA1">
              <w:rPr>
                <w:rFonts w:ascii="Arial Narrow" w:hAnsi="Arial Narrow"/>
                <w:sz w:val="15"/>
                <w:szCs w:val="15"/>
                <w:lang w:val="fr-FR"/>
              </w:rPr>
              <w:t>Un indicateur pour Paris et Busan et un ind</w:t>
            </w:r>
            <w:r w:rsidR="009F196A">
              <w:rPr>
                <w:rFonts w:ascii="Arial Narrow" w:hAnsi="Arial Narrow"/>
                <w:sz w:val="15"/>
                <w:szCs w:val="15"/>
                <w:lang w:val="fr-FR"/>
              </w:rPr>
              <w:t xml:space="preserve">icateur utilisé par </w:t>
            </w:r>
            <w:proofErr w:type="spellStart"/>
            <w:r w:rsidR="009F196A">
              <w:rPr>
                <w:rFonts w:ascii="Arial Narrow" w:hAnsi="Arial Narrow"/>
                <w:sz w:val="15"/>
                <w:szCs w:val="15"/>
                <w:lang w:val="fr-FR"/>
              </w:rPr>
              <w:t>IHP+Results</w:t>
            </w:r>
            <w:proofErr w:type="spellEnd"/>
          </w:p>
          <w:p w14:paraId="538C5288" w14:textId="77777777" w:rsidR="009F196A" w:rsidRDefault="00665620" w:rsidP="00DB62C7">
            <w:pPr>
              <w:numPr>
                <w:ilvl w:val="0"/>
                <w:numId w:val="26"/>
              </w:numPr>
              <w:ind w:left="175" w:hanging="175"/>
              <w:contextualSpacing/>
              <w:rPr>
                <w:rFonts w:ascii="Arial Narrow" w:hAnsi="Arial Narrow"/>
                <w:sz w:val="15"/>
                <w:szCs w:val="15"/>
                <w:lang w:val="fr-FR"/>
              </w:rPr>
            </w:pPr>
            <w:r w:rsidRPr="00D27EA1">
              <w:rPr>
                <w:rFonts w:ascii="Arial Narrow" w:hAnsi="Arial Narrow"/>
                <w:sz w:val="15"/>
                <w:szCs w:val="15"/>
                <w:lang w:val="fr-FR"/>
              </w:rPr>
              <w:t>Un des indicateurs les plus importa</w:t>
            </w:r>
            <w:r w:rsidR="009F196A">
              <w:rPr>
                <w:rFonts w:ascii="Arial Narrow" w:hAnsi="Arial Narrow"/>
                <w:sz w:val="15"/>
                <w:szCs w:val="15"/>
                <w:lang w:val="fr-FR"/>
              </w:rPr>
              <w:t>nts et pertinents pour les pays</w:t>
            </w:r>
          </w:p>
          <w:p w14:paraId="026EC579" w14:textId="70965D75" w:rsidR="00785FFC" w:rsidRPr="00D27EA1" w:rsidRDefault="00665620" w:rsidP="00DB62C7">
            <w:pPr>
              <w:numPr>
                <w:ilvl w:val="0"/>
                <w:numId w:val="26"/>
              </w:numPr>
              <w:ind w:left="175" w:hanging="175"/>
              <w:contextualSpacing/>
              <w:rPr>
                <w:rFonts w:ascii="Arial Narrow" w:hAnsi="Arial Narrow"/>
                <w:sz w:val="15"/>
                <w:szCs w:val="15"/>
                <w:lang w:val="fr-FR"/>
              </w:rPr>
            </w:pPr>
            <w:r w:rsidRPr="00D27EA1">
              <w:rPr>
                <w:rFonts w:ascii="Arial Narrow" w:hAnsi="Arial Narrow"/>
                <w:sz w:val="15"/>
                <w:szCs w:val="15"/>
                <w:lang w:val="fr-FR"/>
              </w:rPr>
              <w:t>Les données relatives aux tendances sont déjà disponibles pour la moitié des signataires du IHP+</w:t>
            </w:r>
            <w:r w:rsidR="00785FFC" w:rsidRPr="00D27EA1">
              <w:rPr>
                <w:rFonts w:ascii="Arial Narrow" w:hAnsi="Arial Narrow"/>
                <w:sz w:val="15"/>
                <w:szCs w:val="15"/>
                <w:lang w:val="fr-FR"/>
              </w:rPr>
              <w:t xml:space="preserve">; </w:t>
            </w:r>
            <w:r w:rsidRPr="00D27EA1">
              <w:rPr>
                <w:rFonts w:ascii="Arial Narrow" w:hAnsi="Arial Narrow"/>
                <w:sz w:val="15"/>
                <w:szCs w:val="15"/>
                <w:lang w:val="fr-FR"/>
              </w:rPr>
              <w:t xml:space="preserve">des informations nouvelles sur les examens annuels conjoints sont actuellement collectées </w:t>
            </w:r>
          </w:p>
        </w:tc>
      </w:tr>
      <w:tr w:rsidR="00785FFC" w:rsidRPr="004545B0" w14:paraId="16C23E98" w14:textId="77777777" w:rsidTr="00CC4E8F">
        <w:trPr>
          <w:trHeight w:val="74"/>
        </w:trPr>
        <w:tc>
          <w:tcPr>
            <w:tcW w:w="2943" w:type="dxa"/>
            <w:tcBorders>
              <w:bottom w:val="single" w:sz="4" w:space="0" w:color="auto"/>
            </w:tcBorders>
          </w:tcPr>
          <w:p w14:paraId="36AE6719" w14:textId="4946FD27" w:rsidR="00785FFC" w:rsidRPr="00D27EA1" w:rsidRDefault="00785FFC" w:rsidP="00BC2B3B">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b/>
                <w:bCs/>
                <w:color w:val="000000"/>
                <w:sz w:val="15"/>
                <w:szCs w:val="15"/>
                <w:lang w:val="fr-FR"/>
              </w:rPr>
              <w:lastRenderedPageBreak/>
              <w:t xml:space="preserve">8. </w:t>
            </w:r>
            <w:r w:rsidR="0019401E" w:rsidRPr="00D27EA1">
              <w:rPr>
                <w:rFonts w:ascii="Arial Narrow" w:hAnsi="Arial Narrow" w:cs="Arial"/>
                <w:b/>
                <w:bCs/>
                <w:color w:val="000000"/>
                <w:sz w:val="15"/>
                <w:szCs w:val="15"/>
                <w:lang w:val="fr-FR"/>
              </w:rPr>
              <w:t>Égalité homme-femme et autonomisation des femmes</w:t>
            </w:r>
          </w:p>
          <w:p w14:paraId="5BB60D5C" w14:textId="7DB10EE8" w:rsidR="00785FFC" w:rsidRPr="00D27EA1" w:rsidRDefault="0019401E" w:rsidP="00A43962">
            <w:pPr>
              <w:autoSpaceDE w:val="0"/>
              <w:autoSpaceDN w:val="0"/>
              <w:adjustRightInd w:val="0"/>
              <w:spacing w:after="20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des pays disposant de systèmes qui suivent et rendent publiques les affectations destinées à l’égalité́ homme-femme et à l’autonomisation des femmes.</w:t>
            </w:r>
          </w:p>
        </w:tc>
        <w:tc>
          <w:tcPr>
            <w:tcW w:w="2127" w:type="dxa"/>
            <w:tcBorders>
              <w:bottom w:val="single" w:sz="4" w:space="0" w:color="auto"/>
            </w:tcBorders>
          </w:tcPr>
          <w:p w14:paraId="722B761C" w14:textId="77777777" w:rsidR="00785FFC" w:rsidRPr="00D27EA1" w:rsidRDefault="00785FFC" w:rsidP="00BC2B3B">
            <w:pPr>
              <w:rPr>
                <w:rFonts w:ascii="Arial Narrow" w:hAnsi="Arial Narrow"/>
                <w:sz w:val="15"/>
                <w:szCs w:val="15"/>
                <w:lang w:val="fr-FR"/>
              </w:rPr>
            </w:pPr>
          </w:p>
        </w:tc>
        <w:tc>
          <w:tcPr>
            <w:tcW w:w="2126" w:type="dxa"/>
            <w:tcBorders>
              <w:bottom w:val="single" w:sz="4" w:space="0" w:color="auto"/>
            </w:tcBorders>
          </w:tcPr>
          <w:p w14:paraId="085EFB66" w14:textId="77777777" w:rsidR="00785FFC" w:rsidRPr="00D27EA1" w:rsidRDefault="00785FFC" w:rsidP="00BC2B3B">
            <w:pPr>
              <w:rPr>
                <w:rFonts w:ascii="Arial Narrow" w:hAnsi="Arial Narrow"/>
                <w:sz w:val="15"/>
                <w:szCs w:val="15"/>
                <w:lang w:val="fr-FR"/>
              </w:rPr>
            </w:pPr>
          </w:p>
        </w:tc>
        <w:tc>
          <w:tcPr>
            <w:tcW w:w="2380" w:type="dxa"/>
          </w:tcPr>
          <w:p w14:paraId="3EDF28D5" w14:textId="77777777" w:rsidR="00785FFC" w:rsidRPr="00D27EA1" w:rsidRDefault="00785FFC" w:rsidP="00BC2B3B">
            <w:pPr>
              <w:rPr>
                <w:rFonts w:ascii="Arial Narrow" w:hAnsi="Arial Narrow"/>
                <w:i/>
                <w:iCs/>
                <w:sz w:val="15"/>
                <w:szCs w:val="15"/>
                <w:lang w:val="fr-FR"/>
              </w:rPr>
            </w:pPr>
          </w:p>
          <w:p w14:paraId="122E56BD" w14:textId="77777777" w:rsidR="00785FFC" w:rsidRPr="00D27EA1" w:rsidRDefault="00785FFC" w:rsidP="00BC2B3B">
            <w:pPr>
              <w:rPr>
                <w:rFonts w:ascii="Arial Narrow" w:hAnsi="Arial Narrow"/>
                <w:iCs/>
                <w:sz w:val="15"/>
                <w:szCs w:val="15"/>
                <w:lang w:val="fr-FR"/>
              </w:rPr>
            </w:pPr>
          </w:p>
        </w:tc>
      </w:tr>
      <w:tr w:rsidR="00785FFC" w:rsidRPr="004545B0" w14:paraId="2A49633B" w14:textId="77777777" w:rsidTr="00BC2B3B">
        <w:tc>
          <w:tcPr>
            <w:tcW w:w="2943" w:type="dxa"/>
            <w:tcBorders>
              <w:bottom w:val="single" w:sz="4" w:space="0" w:color="auto"/>
            </w:tcBorders>
            <w:shd w:val="clear" w:color="auto" w:fill="C9DBFF"/>
          </w:tcPr>
          <w:p w14:paraId="34E80DF5" w14:textId="62E32DB6" w:rsidR="00785FFC" w:rsidRPr="00D27EA1" w:rsidRDefault="00785FFC" w:rsidP="00BC2B3B">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b/>
                <w:bCs/>
                <w:color w:val="000000"/>
                <w:sz w:val="15"/>
                <w:szCs w:val="15"/>
                <w:lang w:val="fr-FR"/>
              </w:rPr>
              <w:t xml:space="preserve">9. </w:t>
            </w:r>
            <w:r w:rsidR="00396804" w:rsidRPr="00D27EA1">
              <w:rPr>
                <w:rFonts w:ascii="Arial Narrow" w:hAnsi="Arial Narrow" w:cs="Arial"/>
                <w:b/>
                <w:bCs/>
                <w:color w:val="000000"/>
                <w:sz w:val="15"/>
                <w:szCs w:val="15"/>
                <w:lang w:val="fr-FR"/>
              </w:rPr>
              <w:t>Institutions efficaces : les systèmes des pays en développement sont renforcés et utilisés</w:t>
            </w:r>
          </w:p>
          <w:p w14:paraId="456C4772" w14:textId="2A1F480A" w:rsidR="00785FFC" w:rsidRPr="00D27EA1" w:rsidRDefault="00785FFC" w:rsidP="00BC2B3B">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xml:space="preserve">(a) </w:t>
            </w:r>
            <w:r w:rsidR="006E4C3D" w:rsidRPr="00D27EA1">
              <w:rPr>
                <w:rFonts w:ascii="Arial Narrow" w:hAnsi="Arial Narrow" w:cs="Arial"/>
                <w:color w:val="000000"/>
                <w:sz w:val="15"/>
                <w:szCs w:val="15"/>
                <w:lang w:val="fr-FR"/>
              </w:rPr>
              <w:t xml:space="preserve">Qualité́ des systèmes de gestion des finances publiques </w:t>
            </w:r>
            <w:r w:rsidR="00441FE8">
              <w:rPr>
                <w:rFonts w:ascii="Arial Narrow" w:hAnsi="Arial Narrow" w:cs="Arial"/>
                <w:color w:val="000000"/>
                <w:sz w:val="15"/>
                <w:szCs w:val="15"/>
                <w:lang w:val="fr-FR"/>
              </w:rPr>
              <w:t xml:space="preserve">(GFP) </w:t>
            </w:r>
            <w:r w:rsidR="006E4C3D" w:rsidRPr="00D27EA1">
              <w:rPr>
                <w:rFonts w:ascii="Arial Narrow" w:hAnsi="Arial Narrow" w:cs="Arial"/>
                <w:color w:val="000000"/>
                <w:sz w:val="15"/>
                <w:szCs w:val="15"/>
                <w:lang w:val="fr-FR"/>
              </w:rPr>
              <w:t>du pays en développement</w:t>
            </w:r>
            <w:r w:rsidRPr="00D27EA1">
              <w:rPr>
                <w:rFonts w:ascii="Arial Narrow" w:hAnsi="Arial Narrow" w:cs="Arial"/>
                <w:color w:val="000000"/>
                <w:sz w:val="15"/>
                <w:szCs w:val="15"/>
                <w:lang w:val="fr-FR"/>
              </w:rPr>
              <w:t xml:space="preserve">; </w:t>
            </w:r>
          </w:p>
          <w:p w14:paraId="65FDB947" w14:textId="576DCB5B" w:rsidR="00785FFC" w:rsidRPr="00D27EA1" w:rsidRDefault="00785FFC" w:rsidP="00441FE8">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xml:space="preserve">(b) </w:t>
            </w:r>
            <w:r w:rsidR="006E4C3D" w:rsidRPr="00D27EA1">
              <w:rPr>
                <w:rFonts w:ascii="Arial Narrow" w:hAnsi="Arial Narrow" w:cs="Arial"/>
                <w:color w:val="000000"/>
                <w:sz w:val="15"/>
                <w:szCs w:val="15"/>
                <w:lang w:val="fr-FR"/>
              </w:rPr>
              <w:t>Utilisation des systèmes nationaux de GFP et de passation des marchés</w:t>
            </w:r>
            <w:r w:rsidRPr="00D27EA1">
              <w:rPr>
                <w:rFonts w:ascii="Arial Narrow" w:hAnsi="Arial Narrow" w:cs="Arial"/>
                <w:color w:val="000000"/>
                <w:sz w:val="15"/>
                <w:szCs w:val="15"/>
                <w:lang w:val="fr-FR"/>
              </w:rPr>
              <w:t xml:space="preserve">. </w:t>
            </w:r>
          </w:p>
        </w:tc>
        <w:tc>
          <w:tcPr>
            <w:tcW w:w="2127" w:type="dxa"/>
            <w:tcBorders>
              <w:bottom w:val="single" w:sz="4" w:space="0" w:color="auto"/>
            </w:tcBorders>
            <w:shd w:val="clear" w:color="auto" w:fill="B5EDB5"/>
          </w:tcPr>
          <w:p w14:paraId="51B9C2F7" w14:textId="39EA11A3" w:rsidR="00785FFC" w:rsidRPr="00D27EA1" w:rsidRDefault="00785FFC" w:rsidP="00BC2B3B">
            <w:pPr>
              <w:spacing w:after="200" w:line="276" w:lineRule="auto"/>
              <w:rPr>
                <w:rFonts w:ascii="Arial Narrow" w:hAnsi="Arial Narrow"/>
                <w:sz w:val="15"/>
                <w:szCs w:val="15"/>
                <w:lang w:val="fr-FR"/>
              </w:rPr>
            </w:pPr>
            <w:r w:rsidRPr="00D27EA1">
              <w:rPr>
                <w:rFonts w:ascii="Arial Narrow" w:hAnsi="Arial Narrow"/>
                <w:sz w:val="15"/>
                <w:szCs w:val="15"/>
                <w:lang w:val="fr-FR"/>
              </w:rPr>
              <w:t xml:space="preserve">a) </w:t>
            </w:r>
            <w:r w:rsidR="00CA6A4C" w:rsidRPr="00D27EA1">
              <w:rPr>
                <w:rFonts w:ascii="Arial Narrow" w:hAnsi="Arial Narrow"/>
                <w:sz w:val="15"/>
                <w:szCs w:val="15"/>
                <w:lang w:val="fr-FR"/>
              </w:rPr>
              <w:t xml:space="preserve">Les systèmes nationaux de gestion des finances publiques pour le secteur de la santé adhèrent aux bonnes pratiques généralement </w:t>
            </w:r>
            <w:r w:rsidR="00CC4E8F" w:rsidRPr="00D27EA1">
              <w:rPr>
                <w:rFonts w:ascii="Arial Narrow" w:hAnsi="Arial Narrow"/>
                <w:sz w:val="15"/>
                <w:szCs w:val="15"/>
                <w:lang w:val="fr-FR"/>
              </w:rPr>
              <w:t>acceptées, ou</w:t>
            </w:r>
            <w:r w:rsidR="00CA6A4C" w:rsidRPr="00D27EA1">
              <w:rPr>
                <w:rFonts w:ascii="Arial Narrow" w:hAnsi="Arial Narrow"/>
                <w:sz w:val="15"/>
                <w:szCs w:val="15"/>
                <w:lang w:val="fr-FR"/>
              </w:rPr>
              <w:t xml:space="preserve"> un programme de réformes est en place dans le but d'atteindre cet objectif </w:t>
            </w:r>
          </w:p>
          <w:p w14:paraId="5E796654" w14:textId="78326179" w:rsidR="00785FFC" w:rsidRPr="00D27EA1" w:rsidRDefault="00785FFC" w:rsidP="00BC2B3B">
            <w:pPr>
              <w:spacing w:after="200" w:line="276" w:lineRule="auto"/>
              <w:rPr>
                <w:rFonts w:ascii="Arial Narrow" w:hAnsi="Arial Narrow"/>
                <w:i/>
                <w:iCs/>
                <w:sz w:val="15"/>
                <w:szCs w:val="15"/>
                <w:lang w:val="fr-FR"/>
              </w:rPr>
            </w:pPr>
            <w:r w:rsidRPr="00D27EA1">
              <w:rPr>
                <w:rFonts w:ascii="Arial Narrow" w:hAnsi="Arial Narrow"/>
                <w:i/>
                <w:iCs/>
                <w:sz w:val="15"/>
                <w:szCs w:val="15"/>
                <w:lang w:val="fr-FR"/>
              </w:rPr>
              <w:t xml:space="preserve">b) </w:t>
            </w:r>
            <w:r w:rsidR="00CA6A4C" w:rsidRPr="00D27EA1">
              <w:rPr>
                <w:rFonts w:ascii="Arial Narrow" w:hAnsi="Arial Narrow"/>
                <w:i/>
                <w:iCs/>
                <w:sz w:val="15"/>
                <w:szCs w:val="15"/>
                <w:lang w:val="fr-FR"/>
              </w:rPr>
              <w:t>Voir note</w:t>
            </w:r>
          </w:p>
          <w:p w14:paraId="7257943B" w14:textId="77777777" w:rsidR="00785FFC" w:rsidRPr="00D27EA1" w:rsidRDefault="00785FFC" w:rsidP="00BC2B3B">
            <w:pPr>
              <w:rPr>
                <w:rFonts w:ascii="Arial Narrow" w:hAnsi="Arial Narrow"/>
                <w:sz w:val="15"/>
                <w:szCs w:val="15"/>
                <w:lang w:val="fr-FR"/>
              </w:rPr>
            </w:pPr>
          </w:p>
        </w:tc>
        <w:tc>
          <w:tcPr>
            <w:tcW w:w="2126" w:type="dxa"/>
            <w:tcBorders>
              <w:bottom w:val="single" w:sz="4" w:space="0" w:color="auto"/>
            </w:tcBorders>
            <w:shd w:val="clear" w:color="auto" w:fill="B5EDB5"/>
          </w:tcPr>
          <w:p w14:paraId="24DE94F8" w14:textId="4C71D7F1" w:rsidR="00785FFC" w:rsidRPr="00D27EA1" w:rsidRDefault="00785FFC" w:rsidP="00441FE8">
            <w:pPr>
              <w:spacing w:after="200" w:line="276" w:lineRule="auto"/>
              <w:rPr>
                <w:rFonts w:ascii="Arial Narrow" w:hAnsi="Arial Narrow"/>
                <w:sz w:val="15"/>
                <w:szCs w:val="15"/>
                <w:lang w:val="fr-FR"/>
              </w:rPr>
            </w:pPr>
            <w:r w:rsidRPr="00D27EA1">
              <w:rPr>
                <w:rFonts w:ascii="Arial Narrow" w:hAnsi="Arial Narrow"/>
                <w:sz w:val="15"/>
                <w:szCs w:val="15"/>
                <w:lang w:val="fr-FR"/>
              </w:rPr>
              <w:t>a)</w:t>
            </w:r>
            <w:r w:rsidR="00D27EA1">
              <w:rPr>
                <w:rFonts w:ascii="Arial Narrow" w:hAnsi="Arial Narrow"/>
                <w:sz w:val="15"/>
                <w:szCs w:val="15"/>
                <w:lang w:val="fr-FR"/>
              </w:rPr>
              <w:t xml:space="preserve"> </w:t>
            </w:r>
            <w:r w:rsidRPr="00D27EA1">
              <w:rPr>
                <w:rFonts w:ascii="Arial Narrow" w:hAnsi="Arial Narrow"/>
                <w:sz w:val="15"/>
                <w:szCs w:val="15"/>
                <w:lang w:val="fr-FR"/>
              </w:rPr>
              <w:t xml:space="preserve">% </w:t>
            </w:r>
            <w:r w:rsidR="00E47B2B" w:rsidRPr="00D27EA1">
              <w:rPr>
                <w:rFonts w:ascii="Arial Narrow" w:hAnsi="Arial Narrow"/>
                <w:sz w:val="15"/>
                <w:szCs w:val="15"/>
                <w:lang w:val="fr-FR"/>
              </w:rPr>
              <w:t xml:space="preserve">de l’aide destinée au secteur de la santé qui utilise les systèmes </w:t>
            </w:r>
            <w:r w:rsidR="003141CB" w:rsidRPr="00D27EA1">
              <w:rPr>
                <w:rFonts w:ascii="Arial Narrow" w:hAnsi="Arial Narrow"/>
                <w:sz w:val="15"/>
                <w:szCs w:val="15"/>
                <w:lang w:val="fr-FR"/>
              </w:rPr>
              <w:t xml:space="preserve">nationaux de gestion des finances publiques </w:t>
            </w:r>
            <w:r w:rsidR="00A43962">
              <w:rPr>
                <w:rFonts w:ascii="Arial Narrow" w:hAnsi="Arial Narrow"/>
                <w:sz w:val="15"/>
                <w:szCs w:val="15"/>
                <w:lang w:val="fr-FR"/>
              </w:rPr>
              <w:t xml:space="preserve">adhérant aux bonnes pratiques ou </w:t>
            </w:r>
            <w:r w:rsidR="00441FE8">
              <w:rPr>
                <w:rFonts w:ascii="Arial Narrow" w:hAnsi="Arial Narrow"/>
                <w:sz w:val="15"/>
                <w:szCs w:val="15"/>
                <w:lang w:val="fr-FR"/>
              </w:rPr>
              <w:t>u</w:t>
            </w:r>
            <w:r w:rsidR="00A43962">
              <w:rPr>
                <w:rFonts w:ascii="Arial Narrow" w:hAnsi="Arial Narrow"/>
                <w:sz w:val="15"/>
                <w:szCs w:val="15"/>
                <w:lang w:val="fr-FR"/>
              </w:rPr>
              <w:t xml:space="preserve">n programme de </w:t>
            </w:r>
            <w:proofErr w:type="spellStart"/>
            <w:r w:rsidR="00A43962">
              <w:rPr>
                <w:rFonts w:ascii="Arial Narrow" w:hAnsi="Arial Narrow"/>
                <w:sz w:val="15"/>
                <w:szCs w:val="15"/>
                <w:lang w:val="fr-FR"/>
              </w:rPr>
              <w:t>reforme</w:t>
            </w:r>
            <w:proofErr w:type="spellEnd"/>
            <w:r w:rsidR="00A43962">
              <w:rPr>
                <w:rFonts w:ascii="Arial Narrow" w:hAnsi="Arial Narrow"/>
                <w:sz w:val="15"/>
                <w:szCs w:val="15"/>
                <w:lang w:val="fr-FR"/>
              </w:rPr>
              <w:t xml:space="preserve"> est en place dans le but d’atteindre cet objectif</w:t>
            </w:r>
          </w:p>
          <w:p w14:paraId="0A05B98D" w14:textId="77777777" w:rsidR="00785FFC" w:rsidRPr="00D27EA1" w:rsidRDefault="00785FFC" w:rsidP="00BC2B3B">
            <w:pPr>
              <w:rPr>
                <w:rFonts w:ascii="Arial Narrow" w:hAnsi="Arial Narrow"/>
                <w:sz w:val="15"/>
                <w:szCs w:val="15"/>
                <w:lang w:val="fr-FR"/>
              </w:rPr>
            </w:pPr>
          </w:p>
          <w:p w14:paraId="18AC0654" w14:textId="394124E7" w:rsidR="00785FFC" w:rsidRPr="00D27EA1" w:rsidRDefault="00785FFC" w:rsidP="00441FE8">
            <w:pPr>
              <w:rPr>
                <w:rFonts w:ascii="Arial Narrow" w:hAnsi="Arial Narrow"/>
                <w:sz w:val="15"/>
                <w:szCs w:val="15"/>
                <w:lang w:val="fr-FR"/>
              </w:rPr>
            </w:pPr>
            <w:r w:rsidRPr="00D27EA1">
              <w:rPr>
                <w:rFonts w:ascii="Arial Narrow" w:hAnsi="Arial Narrow"/>
                <w:sz w:val="15"/>
                <w:szCs w:val="15"/>
                <w:lang w:val="fr-FR"/>
              </w:rPr>
              <w:t xml:space="preserve">b) % </w:t>
            </w:r>
            <w:r w:rsidR="003141CB" w:rsidRPr="00D27EA1">
              <w:rPr>
                <w:rFonts w:ascii="Arial Narrow" w:hAnsi="Arial Narrow"/>
                <w:sz w:val="15"/>
                <w:szCs w:val="15"/>
                <w:lang w:val="fr-FR"/>
              </w:rPr>
              <w:t xml:space="preserve">de l’aide destinée au secteur de la santé qui utilise les </w:t>
            </w:r>
            <w:r w:rsidR="003141CB" w:rsidRPr="00D27EA1">
              <w:rPr>
                <w:rFonts w:ascii="Arial Narrow" w:hAnsi="Arial Narrow"/>
                <w:b/>
                <w:sz w:val="15"/>
                <w:szCs w:val="15"/>
                <w:lang w:val="fr-FR"/>
              </w:rPr>
              <w:t>sys</w:t>
            </w:r>
            <w:r w:rsidR="00C23366" w:rsidRPr="00D27EA1">
              <w:rPr>
                <w:rFonts w:ascii="Arial Narrow" w:hAnsi="Arial Narrow"/>
                <w:b/>
                <w:sz w:val="15"/>
                <w:szCs w:val="15"/>
                <w:lang w:val="fr-FR"/>
              </w:rPr>
              <w:t>tèmes nationaux de passation de</w:t>
            </w:r>
            <w:r w:rsidR="003141CB" w:rsidRPr="00D27EA1">
              <w:rPr>
                <w:rFonts w:ascii="Arial Narrow" w:hAnsi="Arial Narrow"/>
                <w:b/>
                <w:sz w:val="15"/>
                <w:szCs w:val="15"/>
                <w:lang w:val="fr-FR"/>
              </w:rPr>
              <w:t xml:space="preserve"> marchés</w:t>
            </w:r>
            <w:r w:rsidR="003141CB" w:rsidRPr="00D27EA1">
              <w:rPr>
                <w:rFonts w:ascii="Arial Narrow" w:hAnsi="Arial Narrow"/>
                <w:sz w:val="15"/>
                <w:szCs w:val="15"/>
                <w:lang w:val="fr-FR"/>
              </w:rPr>
              <w:t xml:space="preserve"> </w:t>
            </w:r>
            <w:r w:rsidR="00AC0F57">
              <w:rPr>
                <w:rFonts w:ascii="Arial Narrow" w:hAnsi="Arial Narrow"/>
                <w:sz w:val="15"/>
                <w:szCs w:val="15"/>
                <w:lang w:val="fr-FR"/>
              </w:rPr>
              <w:t xml:space="preserve">adhérant aux bonnes pratiques ou </w:t>
            </w:r>
            <w:r w:rsidR="00441FE8">
              <w:rPr>
                <w:rFonts w:ascii="Arial Narrow" w:hAnsi="Arial Narrow"/>
                <w:sz w:val="15"/>
                <w:szCs w:val="15"/>
                <w:lang w:val="fr-FR"/>
              </w:rPr>
              <w:t>u</w:t>
            </w:r>
            <w:r w:rsidR="00AC0F57">
              <w:rPr>
                <w:rFonts w:ascii="Arial Narrow" w:hAnsi="Arial Narrow"/>
                <w:sz w:val="15"/>
                <w:szCs w:val="15"/>
                <w:lang w:val="fr-FR"/>
              </w:rPr>
              <w:t xml:space="preserve">n programme de </w:t>
            </w:r>
            <w:proofErr w:type="spellStart"/>
            <w:r w:rsidR="00AC0F57">
              <w:rPr>
                <w:rFonts w:ascii="Arial Narrow" w:hAnsi="Arial Narrow"/>
                <w:sz w:val="15"/>
                <w:szCs w:val="15"/>
                <w:lang w:val="fr-FR"/>
              </w:rPr>
              <w:t>reforme</w:t>
            </w:r>
            <w:proofErr w:type="spellEnd"/>
            <w:r w:rsidR="00AC0F57">
              <w:rPr>
                <w:rFonts w:ascii="Arial Narrow" w:hAnsi="Arial Narrow"/>
                <w:sz w:val="15"/>
                <w:szCs w:val="15"/>
                <w:lang w:val="fr-FR"/>
              </w:rPr>
              <w:t xml:space="preserve"> est en place dans le but d’atteindre cet objectif</w:t>
            </w:r>
          </w:p>
        </w:tc>
        <w:tc>
          <w:tcPr>
            <w:tcW w:w="2380" w:type="dxa"/>
          </w:tcPr>
          <w:p w14:paraId="1A7B8F85" w14:textId="422E7CC4" w:rsidR="00785FFC" w:rsidRPr="00D27EA1" w:rsidRDefault="00FA686E"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Un indicateur pour Paris et Busan et un indicateur utilisé par </w:t>
            </w:r>
            <w:proofErr w:type="spellStart"/>
            <w:r w:rsidRPr="00D27EA1">
              <w:rPr>
                <w:rFonts w:ascii="Arial Narrow" w:hAnsi="Arial Narrow"/>
                <w:sz w:val="15"/>
                <w:szCs w:val="15"/>
                <w:lang w:val="fr-FR"/>
              </w:rPr>
              <w:t>IHP+Results</w:t>
            </w:r>
            <w:proofErr w:type="spellEnd"/>
          </w:p>
          <w:p w14:paraId="113DB457" w14:textId="0B0BD27C" w:rsidR="00785FFC" w:rsidRPr="00D27EA1" w:rsidRDefault="00785FFC" w:rsidP="00BC2B3B">
            <w:pPr>
              <w:numPr>
                <w:ilvl w:val="0"/>
                <w:numId w:val="26"/>
              </w:numPr>
              <w:spacing w:after="200" w:line="276" w:lineRule="auto"/>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Important </w:t>
            </w:r>
            <w:r w:rsidR="00FA686E" w:rsidRPr="00D27EA1">
              <w:rPr>
                <w:rFonts w:ascii="Arial Narrow" w:hAnsi="Arial Narrow"/>
                <w:sz w:val="15"/>
                <w:szCs w:val="15"/>
                <w:lang w:val="fr-FR"/>
              </w:rPr>
              <w:t>pour les pays</w:t>
            </w:r>
            <w:r w:rsidRPr="00D27EA1">
              <w:rPr>
                <w:rFonts w:ascii="Arial Narrow" w:hAnsi="Arial Narrow"/>
                <w:sz w:val="15"/>
                <w:szCs w:val="15"/>
                <w:lang w:val="fr-FR"/>
              </w:rPr>
              <w:t xml:space="preserve"> </w:t>
            </w:r>
          </w:p>
          <w:p w14:paraId="073C2AFA" w14:textId="5F968AA7" w:rsidR="00785FFC" w:rsidRPr="00D27EA1" w:rsidRDefault="00FA686E" w:rsidP="00DB62C7">
            <w:pPr>
              <w:numPr>
                <w:ilvl w:val="0"/>
                <w:numId w:val="26"/>
              </w:numPr>
              <w:ind w:left="175" w:hanging="175"/>
              <w:contextualSpacing/>
              <w:rPr>
                <w:rFonts w:ascii="Arial Narrow" w:hAnsi="Arial Narrow"/>
                <w:sz w:val="15"/>
                <w:szCs w:val="15"/>
                <w:lang w:val="fr-FR"/>
              </w:rPr>
            </w:pPr>
            <w:r w:rsidRPr="00D27EA1">
              <w:rPr>
                <w:rFonts w:ascii="Arial Narrow" w:hAnsi="Arial Narrow"/>
                <w:sz w:val="15"/>
                <w:szCs w:val="15"/>
                <w:lang w:val="fr-FR"/>
              </w:rPr>
              <w:t xml:space="preserve">L’indicateur </w:t>
            </w:r>
            <w:r w:rsidR="00C23366" w:rsidRPr="00D27EA1">
              <w:rPr>
                <w:rFonts w:ascii="Arial Narrow" w:hAnsi="Arial Narrow"/>
                <w:sz w:val="15"/>
                <w:szCs w:val="15"/>
                <w:lang w:val="fr-FR"/>
              </w:rPr>
              <w:t>consacré à la passation de</w:t>
            </w:r>
            <w:r w:rsidRPr="00D27EA1">
              <w:rPr>
                <w:rFonts w:ascii="Arial Narrow" w:hAnsi="Arial Narrow"/>
                <w:sz w:val="15"/>
                <w:szCs w:val="15"/>
                <w:lang w:val="fr-FR"/>
              </w:rPr>
              <w:t xml:space="preserve"> marchés </w:t>
            </w:r>
            <w:r w:rsidR="00610DB6" w:rsidRPr="00D27EA1">
              <w:rPr>
                <w:rFonts w:ascii="Arial Narrow" w:hAnsi="Arial Narrow"/>
                <w:sz w:val="15"/>
                <w:szCs w:val="15"/>
                <w:lang w:val="fr-FR"/>
              </w:rPr>
              <w:t xml:space="preserve">exige d’être développé davantage </w:t>
            </w:r>
          </w:p>
        </w:tc>
      </w:tr>
      <w:tr w:rsidR="00785FFC" w:rsidRPr="004545B0" w14:paraId="1BA988FB" w14:textId="77777777" w:rsidTr="00BC2B3B">
        <w:tc>
          <w:tcPr>
            <w:tcW w:w="2943" w:type="dxa"/>
            <w:tcBorders>
              <w:bottom w:val="single" w:sz="4" w:space="0" w:color="auto"/>
            </w:tcBorders>
          </w:tcPr>
          <w:p w14:paraId="5C70A0EE" w14:textId="2D521DEF" w:rsidR="00785FFC" w:rsidRPr="00D27EA1" w:rsidRDefault="00785FFC" w:rsidP="00BC2B3B">
            <w:pPr>
              <w:autoSpaceDE w:val="0"/>
              <w:autoSpaceDN w:val="0"/>
              <w:adjustRightInd w:val="0"/>
              <w:spacing w:after="120" w:line="276" w:lineRule="auto"/>
              <w:rPr>
                <w:rFonts w:ascii="Arial Narrow" w:hAnsi="Arial Narrow" w:cs="Arial"/>
                <w:color w:val="000000"/>
                <w:sz w:val="15"/>
                <w:szCs w:val="15"/>
                <w:lang w:val="fr-FR"/>
              </w:rPr>
            </w:pPr>
            <w:r w:rsidRPr="00D27EA1">
              <w:rPr>
                <w:rFonts w:ascii="Arial Narrow" w:hAnsi="Arial Narrow" w:cs="Arial"/>
                <w:b/>
                <w:bCs/>
                <w:color w:val="000000"/>
                <w:sz w:val="15"/>
                <w:szCs w:val="15"/>
                <w:lang w:val="fr-FR"/>
              </w:rPr>
              <w:t xml:space="preserve">10. </w:t>
            </w:r>
            <w:r w:rsidR="00FF7649" w:rsidRPr="00D27EA1">
              <w:rPr>
                <w:rFonts w:ascii="Arial Narrow" w:hAnsi="Arial Narrow" w:cs="Arial"/>
                <w:b/>
                <w:bCs/>
                <w:color w:val="000000"/>
                <w:sz w:val="15"/>
                <w:szCs w:val="15"/>
                <w:lang w:val="fr-FR"/>
              </w:rPr>
              <w:t>L’aide est non liée</w:t>
            </w:r>
          </w:p>
          <w:p w14:paraId="67DAA3C6" w14:textId="122128B8" w:rsidR="00785FFC" w:rsidRPr="00D27EA1" w:rsidRDefault="00785FFC" w:rsidP="00BC2B3B">
            <w:pPr>
              <w:autoSpaceDE w:val="0"/>
              <w:autoSpaceDN w:val="0"/>
              <w:adjustRightInd w:val="0"/>
              <w:spacing w:after="200" w:line="276" w:lineRule="auto"/>
              <w:rPr>
                <w:rFonts w:ascii="Arial Narrow" w:hAnsi="Arial Narrow" w:cs="Arial"/>
                <w:color w:val="000000"/>
                <w:sz w:val="15"/>
                <w:szCs w:val="15"/>
                <w:lang w:val="fr-FR"/>
              </w:rPr>
            </w:pPr>
            <w:r w:rsidRPr="00D27EA1">
              <w:rPr>
                <w:rFonts w:ascii="Arial Narrow" w:hAnsi="Arial Narrow" w:cs="Arial"/>
                <w:color w:val="000000"/>
                <w:sz w:val="15"/>
                <w:szCs w:val="15"/>
                <w:lang w:val="fr-FR"/>
              </w:rPr>
              <w:t xml:space="preserve">% </w:t>
            </w:r>
            <w:r w:rsidR="00FF7649" w:rsidRPr="00D27EA1">
              <w:rPr>
                <w:rFonts w:ascii="Arial Narrow" w:hAnsi="Arial Narrow" w:cs="Arial"/>
                <w:color w:val="000000"/>
                <w:sz w:val="15"/>
                <w:szCs w:val="15"/>
                <w:lang w:val="fr-FR"/>
              </w:rPr>
              <w:t>de l’aide qui est complètement déliée.</w:t>
            </w:r>
          </w:p>
        </w:tc>
        <w:tc>
          <w:tcPr>
            <w:tcW w:w="2127" w:type="dxa"/>
            <w:tcBorders>
              <w:bottom w:val="single" w:sz="4" w:space="0" w:color="auto"/>
            </w:tcBorders>
          </w:tcPr>
          <w:p w14:paraId="49C9D08D" w14:textId="77777777" w:rsidR="00785FFC" w:rsidRPr="00D27EA1" w:rsidRDefault="00785FFC" w:rsidP="00BC2B3B">
            <w:pPr>
              <w:rPr>
                <w:rFonts w:ascii="Arial Narrow" w:hAnsi="Arial Narrow"/>
                <w:sz w:val="15"/>
                <w:szCs w:val="15"/>
                <w:lang w:val="fr-FR"/>
              </w:rPr>
            </w:pPr>
          </w:p>
        </w:tc>
        <w:tc>
          <w:tcPr>
            <w:tcW w:w="2126" w:type="dxa"/>
            <w:tcBorders>
              <w:bottom w:val="single" w:sz="4" w:space="0" w:color="auto"/>
            </w:tcBorders>
          </w:tcPr>
          <w:p w14:paraId="5E528118" w14:textId="77777777" w:rsidR="00785FFC" w:rsidRPr="00D27EA1" w:rsidRDefault="00785FFC" w:rsidP="00BC2B3B">
            <w:pPr>
              <w:rPr>
                <w:rFonts w:ascii="Arial Narrow" w:hAnsi="Arial Narrow"/>
                <w:sz w:val="15"/>
                <w:szCs w:val="15"/>
                <w:lang w:val="fr-FR"/>
              </w:rPr>
            </w:pPr>
          </w:p>
        </w:tc>
        <w:tc>
          <w:tcPr>
            <w:tcW w:w="2380" w:type="dxa"/>
          </w:tcPr>
          <w:p w14:paraId="1E2F67B0" w14:textId="77777777" w:rsidR="00785FFC" w:rsidRPr="00D27EA1" w:rsidRDefault="00785FFC" w:rsidP="00BC2B3B">
            <w:pPr>
              <w:rPr>
                <w:rFonts w:ascii="Arial Narrow" w:hAnsi="Arial Narrow"/>
                <w:i/>
                <w:iCs/>
                <w:sz w:val="15"/>
                <w:szCs w:val="15"/>
                <w:lang w:val="fr-FR"/>
              </w:rPr>
            </w:pPr>
          </w:p>
        </w:tc>
      </w:tr>
    </w:tbl>
    <w:p w14:paraId="161503AC" w14:textId="13318444" w:rsidR="00495DA5" w:rsidRPr="00D27EA1" w:rsidRDefault="00610DB6" w:rsidP="00785FFC">
      <w:pPr>
        <w:rPr>
          <w:rFonts w:ascii="Arial Narrow" w:hAnsi="Arial Narrow"/>
          <w:sz w:val="16"/>
          <w:szCs w:val="16"/>
          <w:lang w:val="fr-FR"/>
        </w:rPr>
      </w:pPr>
      <w:r w:rsidRPr="00D27EA1">
        <w:rPr>
          <w:rFonts w:ascii="Arial Narrow" w:hAnsi="Arial Narrow"/>
          <w:b/>
          <w:bCs/>
          <w:sz w:val="16"/>
          <w:szCs w:val="16"/>
          <w:lang w:val="fr-FR"/>
        </w:rPr>
        <w:t>Note</w:t>
      </w:r>
      <w:r w:rsidR="00785FFC" w:rsidRPr="00D27EA1">
        <w:rPr>
          <w:rFonts w:ascii="Arial Narrow" w:hAnsi="Arial Narrow"/>
          <w:b/>
          <w:bCs/>
          <w:sz w:val="16"/>
          <w:szCs w:val="16"/>
          <w:lang w:val="fr-FR"/>
        </w:rPr>
        <w:t xml:space="preserve">: </w:t>
      </w:r>
      <w:r w:rsidRPr="00D27EA1">
        <w:rPr>
          <w:rFonts w:ascii="Arial Narrow" w:hAnsi="Arial Narrow"/>
          <w:bCs/>
          <w:sz w:val="16"/>
          <w:szCs w:val="16"/>
          <w:lang w:val="fr-FR"/>
        </w:rPr>
        <w:t xml:space="preserve">En ce qui concerne les indicateurs 5b, 6 et 9b, </w:t>
      </w:r>
      <w:r w:rsidR="004F02F6" w:rsidRPr="00D27EA1">
        <w:rPr>
          <w:rFonts w:ascii="Arial Narrow" w:hAnsi="Arial Narrow"/>
          <w:bCs/>
          <w:sz w:val="16"/>
          <w:szCs w:val="16"/>
          <w:lang w:val="fr-FR"/>
        </w:rPr>
        <w:t xml:space="preserve">il n’existe aucun indicateur </w:t>
      </w:r>
      <w:r w:rsidR="00CF6780" w:rsidRPr="00D27EA1">
        <w:rPr>
          <w:rFonts w:ascii="Arial Narrow" w:hAnsi="Arial Narrow"/>
          <w:bCs/>
          <w:sz w:val="16"/>
          <w:szCs w:val="16"/>
          <w:lang w:val="fr-FR"/>
        </w:rPr>
        <w:t xml:space="preserve">immédiat qui correspondrait dans le cadre </w:t>
      </w:r>
      <w:proofErr w:type="gramStart"/>
      <w:r w:rsidR="00CF6780" w:rsidRPr="00D27EA1">
        <w:rPr>
          <w:rFonts w:ascii="Arial Narrow" w:hAnsi="Arial Narrow"/>
          <w:bCs/>
          <w:sz w:val="16"/>
          <w:szCs w:val="16"/>
          <w:lang w:val="fr-FR"/>
        </w:rPr>
        <w:t>de</w:t>
      </w:r>
      <w:r w:rsidR="004F02F6" w:rsidRPr="00D27EA1">
        <w:rPr>
          <w:rFonts w:ascii="Arial Narrow" w:hAnsi="Arial Narrow"/>
          <w:bCs/>
          <w:sz w:val="16"/>
          <w:szCs w:val="16"/>
          <w:lang w:val="fr-FR"/>
        </w:rPr>
        <w:t xml:space="preserve"> </w:t>
      </w:r>
      <w:proofErr w:type="spellStart"/>
      <w:r w:rsidR="004F02F6" w:rsidRPr="00D27EA1">
        <w:rPr>
          <w:rFonts w:ascii="Arial Narrow" w:hAnsi="Arial Narrow"/>
          <w:bCs/>
          <w:sz w:val="16"/>
          <w:szCs w:val="16"/>
          <w:lang w:val="fr-FR"/>
        </w:rPr>
        <w:t>IHP+Results</w:t>
      </w:r>
      <w:proofErr w:type="spellEnd"/>
      <w:proofErr w:type="gramEnd"/>
      <w:r w:rsidR="004F02F6" w:rsidRPr="00D27EA1">
        <w:rPr>
          <w:rFonts w:ascii="Arial Narrow" w:hAnsi="Arial Narrow"/>
          <w:bCs/>
          <w:sz w:val="16"/>
          <w:szCs w:val="16"/>
          <w:lang w:val="fr-FR"/>
        </w:rPr>
        <w:t>.</w:t>
      </w:r>
      <w:r w:rsidR="004F02F6" w:rsidRPr="00D27EA1">
        <w:rPr>
          <w:rFonts w:ascii="Arial Narrow" w:hAnsi="Arial Narrow"/>
          <w:sz w:val="16"/>
          <w:szCs w:val="16"/>
          <w:lang w:val="fr-FR"/>
        </w:rPr>
        <w:t xml:space="preserve"> Cependant, comme il s’agit de questions importantes, il peut être utile d’envisager la proposition </w:t>
      </w:r>
      <w:r w:rsidR="00495DA5" w:rsidRPr="00D27EA1">
        <w:rPr>
          <w:rFonts w:ascii="Arial Narrow" w:hAnsi="Arial Narrow"/>
          <w:sz w:val="16"/>
          <w:szCs w:val="16"/>
          <w:lang w:val="fr-FR"/>
        </w:rPr>
        <w:t xml:space="preserve">relative à des indicateurs supplémentaires, par exemple : </w:t>
      </w:r>
      <w:r w:rsidR="00726D75" w:rsidRPr="00D27EA1">
        <w:rPr>
          <w:rFonts w:ascii="Arial Narrow" w:hAnsi="Arial Narrow"/>
          <w:sz w:val="16"/>
          <w:szCs w:val="16"/>
          <w:lang w:val="fr-FR"/>
        </w:rPr>
        <w:t>5b) l’existence d’un cadre de dépenses à moyen terme, développé et convenu en coordination avec tous les partenaires</w:t>
      </w:r>
      <w:r w:rsidR="00BD15E4" w:rsidRPr="00D27EA1">
        <w:rPr>
          <w:rFonts w:ascii="Arial Narrow" w:hAnsi="Arial Narrow"/>
          <w:sz w:val="16"/>
          <w:szCs w:val="16"/>
          <w:lang w:val="fr-FR"/>
        </w:rPr>
        <w:t> ; 6) des éléments de preuve démontrant que le budget annuel du secteur de la santé prend en compte les décaissements d’aide extérieure prévus</w:t>
      </w:r>
      <w:r w:rsidR="00CF6780" w:rsidRPr="00D27EA1">
        <w:rPr>
          <w:rFonts w:ascii="Arial Narrow" w:hAnsi="Arial Narrow"/>
          <w:sz w:val="16"/>
          <w:szCs w:val="16"/>
          <w:lang w:val="fr-FR"/>
        </w:rPr>
        <w:t>,</w:t>
      </w:r>
      <w:r w:rsidR="00BD15E4" w:rsidRPr="00D27EA1">
        <w:rPr>
          <w:rFonts w:ascii="Arial Narrow" w:hAnsi="Arial Narrow"/>
          <w:sz w:val="16"/>
          <w:szCs w:val="16"/>
          <w:lang w:val="fr-FR"/>
        </w:rPr>
        <w:t xml:space="preserve"> et qu’il est approuvé par les assemblées législatives nationales (l’indicateur correspondant dans le cadre du </w:t>
      </w:r>
      <w:proofErr w:type="spellStart"/>
      <w:r w:rsidR="00BD15E4" w:rsidRPr="00D27EA1">
        <w:rPr>
          <w:rFonts w:ascii="Arial Narrow" w:hAnsi="Arial Narrow"/>
          <w:sz w:val="16"/>
          <w:szCs w:val="16"/>
          <w:lang w:val="fr-FR"/>
        </w:rPr>
        <w:t>IHP+Results</w:t>
      </w:r>
      <w:proofErr w:type="spellEnd"/>
      <w:r w:rsidR="00BD15E4" w:rsidRPr="00D27EA1">
        <w:rPr>
          <w:rFonts w:ascii="Arial Narrow" w:hAnsi="Arial Narrow"/>
          <w:sz w:val="16"/>
          <w:szCs w:val="16"/>
          <w:lang w:val="fr-FR"/>
        </w:rPr>
        <w:t xml:space="preserve"> est « </w:t>
      </w:r>
      <w:r w:rsidR="00F31748" w:rsidRPr="00D27EA1">
        <w:rPr>
          <w:rFonts w:ascii="Arial Narrow" w:hAnsi="Arial Narrow"/>
          <w:sz w:val="16"/>
          <w:szCs w:val="16"/>
          <w:lang w:val="fr-FR"/>
        </w:rPr>
        <w:t>Plans et stratégies nationaux du secteur de la santé en place, dont les objectifs et les budgets sont actuels et ont été évalués conjointement</w:t>
      </w:r>
      <w:r w:rsidR="007F093E" w:rsidRPr="00D27EA1">
        <w:rPr>
          <w:rFonts w:ascii="Arial Narrow" w:hAnsi="Arial Narrow"/>
          <w:sz w:val="16"/>
          <w:szCs w:val="16"/>
          <w:lang w:val="fr-FR"/>
        </w:rPr>
        <w:t>») ; 9b) l’indicateur</w:t>
      </w:r>
      <w:r w:rsidR="00CF6780" w:rsidRPr="00D27EA1">
        <w:rPr>
          <w:rFonts w:ascii="Arial Narrow" w:hAnsi="Arial Narrow"/>
          <w:sz w:val="16"/>
          <w:szCs w:val="16"/>
          <w:lang w:val="fr-FR"/>
        </w:rPr>
        <w:t xml:space="preserve"> </w:t>
      </w:r>
      <w:r w:rsidR="007F093E" w:rsidRPr="00D27EA1">
        <w:rPr>
          <w:rFonts w:ascii="Arial Narrow" w:hAnsi="Arial Narrow"/>
          <w:sz w:val="16"/>
          <w:szCs w:val="16"/>
          <w:lang w:val="fr-FR"/>
        </w:rPr>
        <w:t>consacré</w:t>
      </w:r>
      <w:r w:rsidR="00CF6780" w:rsidRPr="00D27EA1">
        <w:rPr>
          <w:rFonts w:ascii="Arial Narrow" w:hAnsi="Arial Narrow"/>
          <w:sz w:val="16"/>
          <w:szCs w:val="16"/>
          <w:lang w:val="fr-FR"/>
        </w:rPr>
        <w:t xml:space="preserve"> à la passation des marchés se révèle problématique à la fois pour les pays et pour les partenaires du développement et il exige des consultations plus approfondies.</w:t>
      </w:r>
      <w:r w:rsidR="00D27EA1">
        <w:rPr>
          <w:rFonts w:ascii="Arial Narrow" w:hAnsi="Arial Narrow"/>
          <w:sz w:val="16"/>
          <w:szCs w:val="16"/>
          <w:lang w:val="fr-FR"/>
        </w:rPr>
        <w:t xml:space="preserve"> </w:t>
      </w:r>
    </w:p>
    <w:p w14:paraId="501B62AF" w14:textId="77777777" w:rsidR="00785FFC" w:rsidRPr="00D27EA1" w:rsidRDefault="00785FFC" w:rsidP="00276E8E">
      <w:pPr>
        <w:rPr>
          <w:lang w:val="fr-FR"/>
        </w:rPr>
      </w:pPr>
    </w:p>
    <w:sectPr w:rsidR="00785FFC" w:rsidRPr="00D27EA1" w:rsidSect="00C34CC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06FF1" w14:textId="77777777" w:rsidR="00A43962" w:rsidRDefault="00A43962" w:rsidP="00585C6C">
      <w:pPr>
        <w:spacing w:after="0" w:line="240" w:lineRule="auto"/>
      </w:pPr>
      <w:r>
        <w:separator/>
      </w:r>
    </w:p>
  </w:endnote>
  <w:endnote w:type="continuationSeparator" w:id="0">
    <w:p w14:paraId="14961370" w14:textId="77777777" w:rsidR="00A43962" w:rsidRDefault="00A43962" w:rsidP="0058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829"/>
      <w:docPartObj>
        <w:docPartGallery w:val="Page Numbers (Bottom of Page)"/>
        <w:docPartUnique/>
      </w:docPartObj>
    </w:sdtPr>
    <w:sdtEndPr/>
    <w:sdtContent>
      <w:p w14:paraId="0DEDA74C" w14:textId="77777777" w:rsidR="00A43962" w:rsidRDefault="00A43962">
        <w:pPr>
          <w:pStyle w:val="Footer"/>
          <w:jc w:val="right"/>
        </w:pPr>
        <w:r>
          <w:fldChar w:fldCharType="begin"/>
        </w:r>
        <w:r>
          <w:instrText xml:space="preserve"> PAGE   \* MERGEFORMAT </w:instrText>
        </w:r>
        <w:r>
          <w:fldChar w:fldCharType="separate"/>
        </w:r>
        <w:r w:rsidR="00441FE8">
          <w:rPr>
            <w:noProof/>
          </w:rPr>
          <w:t>1</w:t>
        </w:r>
        <w:r>
          <w:rPr>
            <w:noProof/>
          </w:rPr>
          <w:fldChar w:fldCharType="end"/>
        </w:r>
      </w:p>
    </w:sdtContent>
  </w:sdt>
  <w:p w14:paraId="7137C18F" w14:textId="77777777" w:rsidR="00A43962" w:rsidRDefault="00A43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3E741" w14:textId="77777777" w:rsidR="00A43962" w:rsidRDefault="00A43962" w:rsidP="00585C6C">
      <w:pPr>
        <w:spacing w:after="0" w:line="240" w:lineRule="auto"/>
      </w:pPr>
      <w:r>
        <w:separator/>
      </w:r>
    </w:p>
  </w:footnote>
  <w:footnote w:type="continuationSeparator" w:id="0">
    <w:p w14:paraId="0F553D14" w14:textId="77777777" w:rsidR="00A43962" w:rsidRDefault="00A43962" w:rsidP="00585C6C">
      <w:pPr>
        <w:spacing w:after="0" w:line="240" w:lineRule="auto"/>
      </w:pPr>
      <w:r>
        <w:continuationSeparator/>
      </w:r>
    </w:p>
  </w:footnote>
  <w:footnote w:id="1">
    <w:p w14:paraId="2D69BF87" w14:textId="4240F868" w:rsidR="00A43962" w:rsidRPr="00914201" w:rsidRDefault="00A43962" w:rsidP="007B2120">
      <w:pPr>
        <w:pStyle w:val="FootnoteText"/>
        <w:rPr>
          <w:sz w:val="16"/>
          <w:szCs w:val="16"/>
          <w:lang w:val="fr-FR"/>
        </w:rPr>
      </w:pPr>
      <w:r w:rsidRPr="00DB62C7">
        <w:rPr>
          <w:rStyle w:val="FootnoteReference"/>
          <w:sz w:val="16"/>
          <w:szCs w:val="16"/>
          <w:lang w:val="fr-FR"/>
        </w:rPr>
        <w:footnoteRef/>
      </w:r>
      <w:r w:rsidRPr="00DB62C7">
        <w:rPr>
          <w:sz w:val="16"/>
          <w:szCs w:val="16"/>
          <w:lang w:val="fr-FR"/>
        </w:rPr>
        <w:t xml:space="preserve"> L’annexe 1 </w:t>
      </w:r>
      <w:r>
        <w:rPr>
          <w:sz w:val="16"/>
          <w:szCs w:val="16"/>
          <w:lang w:val="fr-FR"/>
        </w:rPr>
        <w:t xml:space="preserve">présente la liste des pays et des partenaires du développement qui ont participé aux cycles de suivi du </w:t>
      </w:r>
      <w:proofErr w:type="spellStart"/>
      <w:r>
        <w:rPr>
          <w:sz w:val="16"/>
          <w:szCs w:val="16"/>
          <w:lang w:val="fr-FR"/>
        </w:rPr>
        <w:t>IHP+Results</w:t>
      </w:r>
      <w:proofErr w:type="spellEnd"/>
      <w:r>
        <w:rPr>
          <w:sz w:val="16"/>
          <w:szCs w:val="16"/>
          <w:lang w:val="fr-FR"/>
        </w:rPr>
        <w:t xml:space="preserve"> en 2010 et en 2012. </w:t>
      </w:r>
    </w:p>
  </w:footnote>
  <w:footnote w:id="2">
    <w:p w14:paraId="4CE56F1D" w14:textId="51867842" w:rsidR="00A43962" w:rsidRPr="00914201" w:rsidRDefault="00A43962" w:rsidP="00785FFC">
      <w:pPr>
        <w:pStyle w:val="FootnoteText"/>
        <w:rPr>
          <w:sz w:val="16"/>
          <w:szCs w:val="16"/>
          <w:lang w:val="fr-FR"/>
        </w:rPr>
      </w:pPr>
      <w:r w:rsidRPr="00914201">
        <w:rPr>
          <w:rStyle w:val="FootnoteReference"/>
          <w:sz w:val="16"/>
          <w:szCs w:val="16"/>
          <w:lang w:val="fr-FR"/>
        </w:rPr>
        <w:footnoteRef/>
      </w:r>
      <w:r w:rsidRPr="00914201">
        <w:rPr>
          <w:sz w:val="16"/>
          <w:szCs w:val="16"/>
          <w:lang w:val="fr-FR"/>
        </w:rPr>
        <w:t xml:space="preserve"> </w:t>
      </w:r>
      <w:r>
        <w:rPr>
          <w:sz w:val="16"/>
          <w:szCs w:val="16"/>
          <w:lang w:val="fr-FR"/>
        </w:rPr>
        <w:t>Indicateurs, cibles et processus proposés pour le suivi mondial. OCDE</w:t>
      </w:r>
      <w:r w:rsidRPr="00914201">
        <w:rPr>
          <w:sz w:val="16"/>
          <w:szCs w:val="16"/>
          <w:lang w:val="fr-FR"/>
        </w:rPr>
        <w:t xml:space="preserve">, 2012 </w:t>
      </w:r>
      <w:hyperlink r:id="rId1" w:history="1"/>
    </w:p>
  </w:footnote>
  <w:footnote w:id="3">
    <w:p w14:paraId="18E499E8" w14:textId="1FB2E024" w:rsidR="00A43962" w:rsidRPr="00914201" w:rsidRDefault="00A43962" w:rsidP="005209ED">
      <w:pPr>
        <w:pStyle w:val="FootnoteText"/>
        <w:rPr>
          <w:sz w:val="16"/>
          <w:szCs w:val="16"/>
          <w:lang w:val="fr-FR"/>
        </w:rPr>
      </w:pPr>
      <w:r w:rsidRPr="00914201">
        <w:rPr>
          <w:rStyle w:val="FootnoteReference"/>
          <w:sz w:val="16"/>
          <w:szCs w:val="16"/>
          <w:lang w:val="fr-FR"/>
        </w:rPr>
        <w:footnoteRef/>
      </w:r>
      <w:r w:rsidRPr="00914201">
        <w:rPr>
          <w:sz w:val="16"/>
          <w:szCs w:val="16"/>
          <w:lang w:val="fr-FR"/>
        </w:rPr>
        <w:t xml:space="preserve"> </w:t>
      </w:r>
      <w:r>
        <w:rPr>
          <w:sz w:val="16"/>
          <w:szCs w:val="16"/>
          <w:lang w:val="fr-FR"/>
        </w:rPr>
        <w:t xml:space="preserve">Le suivi de la performance d’une agence multilatérale est assuré régulièrement par un certain nombre d’agences bilatérales par le biais du MOPAN (le </w:t>
      </w:r>
      <w:r w:rsidRPr="009F5C32">
        <w:rPr>
          <w:sz w:val="16"/>
          <w:szCs w:val="16"/>
          <w:lang w:val="fr-FR"/>
        </w:rPr>
        <w:t>Réseau de mesure des performances des organisations multilatérales</w:t>
      </w:r>
      <w:r>
        <w:rPr>
          <w:sz w:val="16"/>
          <w:szCs w:val="16"/>
          <w:lang w:val="fr-FR"/>
        </w:rPr>
        <w:t>). Le cadre du MOPAN recouvre les quatre dimensions de l’efficacité organisationnelle : gestion stratégique, gestion opérationnelle, gestion des connaissances et gestion des relations. Trois des quatre éléments placés dans le cadre de la gestion des relations sont liés à l’efficacité de l’aide : l’alignement avec les plans nationaux, l’harmonisation des procédures et l’utilisation des systèmes nationaux</w:t>
      </w:r>
      <w:r w:rsidRPr="00914201">
        <w:rPr>
          <w:sz w:val="16"/>
          <w:szCs w:val="16"/>
          <w:lang w:val="fr-FR"/>
        </w:rPr>
        <w:t xml:space="preserve">. </w:t>
      </w:r>
    </w:p>
  </w:footnote>
  <w:footnote w:id="4">
    <w:p w14:paraId="14F1221D" w14:textId="2DB790BA" w:rsidR="00A43962" w:rsidRPr="00914201" w:rsidRDefault="00A43962" w:rsidP="00143322">
      <w:pPr>
        <w:pStyle w:val="FootnoteText"/>
        <w:rPr>
          <w:sz w:val="16"/>
          <w:szCs w:val="16"/>
          <w:lang w:val="fr-FR"/>
        </w:rPr>
      </w:pPr>
      <w:r w:rsidRPr="00914201">
        <w:rPr>
          <w:rStyle w:val="FootnoteReference"/>
          <w:sz w:val="16"/>
          <w:szCs w:val="16"/>
          <w:lang w:val="fr-FR"/>
        </w:rPr>
        <w:footnoteRef/>
      </w:r>
      <w:r w:rsidRPr="00914201">
        <w:rPr>
          <w:sz w:val="16"/>
          <w:szCs w:val="16"/>
          <w:lang w:val="fr-FR"/>
        </w:rPr>
        <w:t xml:space="preserve"> </w:t>
      </w:r>
      <w:r>
        <w:rPr>
          <w:sz w:val="16"/>
          <w:szCs w:val="16"/>
          <w:lang w:val="fr-FR"/>
        </w:rPr>
        <w:t xml:space="preserve">Le </w:t>
      </w:r>
      <w:r w:rsidRPr="00914201">
        <w:rPr>
          <w:sz w:val="16"/>
          <w:szCs w:val="16"/>
          <w:lang w:val="fr-FR"/>
        </w:rPr>
        <w:t>Group</w:t>
      </w:r>
      <w:r>
        <w:rPr>
          <w:sz w:val="16"/>
          <w:szCs w:val="16"/>
          <w:lang w:val="fr-FR"/>
        </w:rPr>
        <w:t>e de travail comprend</w:t>
      </w:r>
      <w:r w:rsidRPr="00914201">
        <w:rPr>
          <w:sz w:val="16"/>
          <w:szCs w:val="16"/>
          <w:lang w:val="fr-FR"/>
        </w:rPr>
        <w:t xml:space="preserve">: Tim Martineau, </w:t>
      </w:r>
      <w:r>
        <w:rPr>
          <w:sz w:val="16"/>
          <w:szCs w:val="16"/>
          <w:lang w:val="fr-FR"/>
        </w:rPr>
        <w:t>l’ONUSIDA</w:t>
      </w:r>
      <w:r w:rsidRPr="00914201">
        <w:rPr>
          <w:sz w:val="16"/>
          <w:szCs w:val="16"/>
          <w:lang w:val="fr-FR"/>
        </w:rPr>
        <w:t xml:space="preserve"> (</w:t>
      </w:r>
      <w:r>
        <w:rPr>
          <w:sz w:val="16"/>
          <w:szCs w:val="16"/>
          <w:lang w:val="fr-FR"/>
        </w:rPr>
        <w:t>président</w:t>
      </w:r>
      <w:r w:rsidRPr="00914201">
        <w:rPr>
          <w:sz w:val="16"/>
          <w:szCs w:val="16"/>
          <w:lang w:val="fr-FR"/>
        </w:rPr>
        <w:t xml:space="preserve">); </w:t>
      </w:r>
      <w:r>
        <w:rPr>
          <w:sz w:val="16"/>
          <w:szCs w:val="16"/>
          <w:lang w:val="fr-FR"/>
        </w:rPr>
        <w:t>l’</w:t>
      </w:r>
      <w:r w:rsidRPr="00914201">
        <w:rPr>
          <w:sz w:val="16"/>
          <w:szCs w:val="16"/>
          <w:lang w:val="fr-FR"/>
        </w:rPr>
        <w:t xml:space="preserve">Éthiopie, </w:t>
      </w:r>
      <w:r>
        <w:rPr>
          <w:sz w:val="16"/>
          <w:szCs w:val="16"/>
          <w:lang w:val="fr-FR"/>
        </w:rPr>
        <w:t>l’Ou</w:t>
      </w:r>
      <w:r w:rsidRPr="00914201">
        <w:rPr>
          <w:sz w:val="16"/>
          <w:szCs w:val="16"/>
          <w:lang w:val="fr-FR"/>
        </w:rPr>
        <w:t xml:space="preserve">ganda; </w:t>
      </w:r>
      <w:r>
        <w:rPr>
          <w:sz w:val="16"/>
          <w:szCs w:val="16"/>
          <w:lang w:val="fr-FR"/>
        </w:rPr>
        <w:t>la société civile du Nord et celle du Sud</w:t>
      </w:r>
      <w:r w:rsidRPr="00914201">
        <w:rPr>
          <w:sz w:val="16"/>
          <w:szCs w:val="16"/>
          <w:lang w:val="fr-FR"/>
        </w:rPr>
        <w:t xml:space="preserve">; </w:t>
      </w:r>
      <w:r>
        <w:rPr>
          <w:sz w:val="16"/>
          <w:szCs w:val="16"/>
          <w:lang w:val="fr-FR"/>
        </w:rPr>
        <w:t xml:space="preserve">le </w:t>
      </w:r>
      <w:r w:rsidRPr="00914201">
        <w:rPr>
          <w:sz w:val="16"/>
          <w:szCs w:val="16"/>
          <w:lang w:val="fr-FR"/>
        </w:rPr>
        <w:t xml:space="preserve">GAVI; </w:t>
      </w:r>
      <w:r>
        <w:rPr>
          <w:sz w:val="16"/>
          <w:szCs w:val="16"/>
          <w:lang w:val="fr-FR"/>
        </w:rPr>
        <w:t>le Fonds mondial</w:t>
      </w:r>
      <w:r w:rsidRPr="00914201">
        <w:rPr>
          <w:sz w:val="16"/>
          <w:szCs w:val="16"/>
          <w:lang w:val="fr-FR"/>
        </w:rPr>
        <w:t xml:space="preserve">; </w:t>
      </w:r>
      <w:r>
        <w:rPr>
          <w:sz w:val="16"/>
          <w:szCs w:val="16"/>
          <w:lang w:val="fr-FR"/>
        </w:rPr>
        <w:t>l’Allemagne</w:t>
      </w:r>
      <w:r w:rsidRPr="00914201">
        <w:rPr>
          <w:sz w:val="16"/>
          <w:szCs w:val="16"/>
          <w:lang w:val="fr-FR"/>
        </w:rPr>
        <w:t xml:space="preserve">; </w:t>
      </w:r>
      <w:r>
        <w:rPr>
          <w:sz w:val="16"/>
          <w:szCs w:val="16"/>
          <w:lang w:val="fr-FR"/>
        </w:rPr>
        <w:t>le Royaume-Uni</w:t>
      </w:r>
      <w:r w:rsidRPr="00914201">
        <w:rPr>
          <w:sz w:val="16"/>
          <w:szCs w:val="16"/>
          <w:lang w:val="fr-FR"/>
        </w:rPr>
        <w:t xml:space="preserve">; </w:t>
      </w:r>
      <w:r>
        <w:rPr>
          <w:sz w:val="16"/>
          <w:szCs w:val="16"/>
          <w:lang w:val="fr-FR"/>
        </w:rPr>
        <w:t>la Commission européenne</w:t>
      </w:r>
      <w:r w:rsidRPr="00914201">
        <w:rPr>
          <w:sz w:val="16"/>
          <w:szCs w:val="16"/>
          <w:lang w:val="fr-FR"/>
        </w:rPr>
        <w:t xml:space="preserve">; </w:t>
      </w:r>
      <w:r>
        <w:rPr>
          <w:sz w:val="16"/>
          <w:szCs w:val="16"/>
          <w:lang w:val="fr-FR"/>
        </w:rPr>
        <w:t>l’</w:t>
      </w:r>
      <w:r w:rsidRPr="00914201">
        <w:rPr>
          <w:sz w:val="16"/>
          <w:szCs w:val="16"/>
          <w:lang w:val="fr-FR"/>
        </w:rPr>
        <w:t xml:space="preserve">UNICEF, </w:t>
      </w:r>
      <w:r>
        <w:rPr>
          <w:sz w:val="16"/>
          <w:szCs w:val="16"/>
          <w:lang w:val="fr-FR"/>
        </w:rPr>
        <w:t>l’OMS</w:t>
      </w:r>
      <w:r w:rsidRPr="00914201">
        <w:rPr>
          <w:sz w:val="16"/>
          <w:szCs w:val="16"/>
          <w:lang w:val="fr-FR"/>
        </w:rPr>
        <w:t xml:space="preserve">, </w:t>
      </w:r>
      <w:r>
        <w:rPr>
          <w:sz w:val="16"/>
          <w:szCs w:val="16"/>
          <w:lang w:val="fr-FR"/>
        </w:rPr>
        <w:t xml:space="preserve">la </w:t>
      </w:r>
      <w:r w:rsidRPr="00914201">
        <w:rPr>
          <w:sz w:val="16"/>
          <w:szCs w:val="16"/>
          <w:lang w:val="fr-FR"/>
        </w:rPr>
        <w:t>Ban</w:t>
      </w:r>
      <w:r>
        <w:rPr>
          <w:sz w:val="16"/>
          <w:szCs w:val="16"/>
          <w:lang w:val="fr-FR"/>
        </w:rPr>
        <w:t>que mondiale</w:t>
      </w:r>
      <w:r w:rsidRPr="00914201">
        <w:rPr>
          <w:sz w:val="16"/>
          <w:szCs w:val="16"/>
          <w:lang w:val="fr-FR"/>
        </w:rPr>
        <w:t xml:space="preserve">; </w:t>
      </w:r>
      <w:r>
        <w:rPr>
          <w:sz w:val="16"/>
          <w:szCs w:val="16"/>
          <w:lang w:val="fr-FR"/>
        </w:rPr>
        <w:t>l’OCDE</w:t>
      </w:r>
      <w:r w:rsidRPr="00914201">
        <w:rPr>
          <w:sz w:val="16"/>
          <w:szCs w:val="16"/>
          <w:lang w:val="fr-FR"/>
        </w:rPr>
        <w:t xml:space="preserve">, </w:t>
      </w:r>
      <w:proofErr w:type="spellStart"/>
      <w:r w:rsidRPr="00914201">
        <w:rPr>
          <w:sz w:val="16"/>
          <w:szCs w:val="16"/>
          <w:lang w:val="fr-FR"/>
        </w:rPr>
        <w:t>ReAction</w:t>
      </w:r>
      <w:proofErr w:type="spellEnd"/>
      <w:r w:rsidRPr="00914201">
        <w:rPr>
          <w:sz w:val="16"/>
          <w:szCs w:val="16"/>
          <w:lang w:val="fr-FR"/>
        </w:rPr>
        <w:t xml:space="preserve">; </w:t>
      </w:r>
      <w:r>
        <w:rPr>
          <w:sz w:val="16"/>
          <w:szCs w:val="16"/>
          <w:lang w:val="fr-FR"/>
        </w:rPr>
        <w:t xml:space="preserve">le </w:t>
      </w:r>
      <w:r w:rsidRPr="00390052">
        <w:rPr>
          <w:sz w:val="16"/>
          <w:szCs w:val="16"/>
          <w:lang w:val="fr-FR"/>
        </w:rPr>
        <w:t xml:space="preserve">Groupe consultatif </w:t>
      </w:r>
      <w:r>
        <w:rPr>
          <w:sz w:val="16"/>
          <w:szCs w:val="16"/>
          <w:lang w:val="fr-FR"/>
        </w:rPr>
        <w:t xml:space="preserve">du </w:t>
      </w:r>
      <w:proofErr w:type="spellStart"/>
      <w:r w:rsidRPr="00914201">
        <w:rPr>
          <w:sz w:val="16"/>
          <w:szCs w:val="16"/>
          <w:lang w:val="fr-FR"/>
        </w:rPr>
        <w:t>IHP+Results</w:t>
      </w:r>
      <w:proofErr w:type="spellEnd"/>
      <w:r w:rsidRPr="00914201">
        <w:rPr>
          <w:sz w:val="16"/>
          <w:szCs w:val="16"/>
          <w:lang w:val="fr-FR"/>
        </w:rPr>
        <w:t>;</w:t>
      </w:r>
      <w:r>
        <w:rPr>
          <w:sz w:val="16"/>
          <w:szCs w:val="16"/>
          <w:lang w:val="fr-FR"/>
        </w:rPr>
        <w:t xml:space="preserve"> la </w:t>
      </w:r>
      <w:r w:rsidRPr="00390052">
        <w:rPr>
          <w:sz w:val="16"/>
          <w:szCs w:val="16"/>
          <w:lang w:val="fr-FR"/>
        </w:rPr>
        <w:t>Commission de l’information et de la redevabilité</w:t>
      </w:r>
      <w:r>
        <w:rPr>
          <w:sz w:val="16"/>
          <w:szCs w:val="16"/>
          <w:lang w:val="fr-FR"/>
        </w:rPr>
        <w:t xml:space="preserve"> à l’OMS</w:t>
      </w:r>
      <w:r w:rsidRPr="00914201">
        <w:rPr>
          <w:sz w:val="16"/>
          <w:szCs w:val="16"/>
          <w:lang w:val="fr-FR"/>
        </w:rPr>
        <w:t xml:space="preserve">. </w:t>
      </w:r>
      <w:r>
        <w:rPr>
          <w:sz w:val="16"/>
          <w:szCs w:val="16"/>
          <w:lang w:val="fr-FR"/>
        </w:rPr>
        <w:t>N’ont pas pu assister</w:t>
      </w:r>
      <w:r w:rsidRPr="00914201">
        <w:rPr>
          <w:sz w:val="16"/>
          <w:szCs w:val="16"/>
          <w:lang w:val="fr-FR"/>
        </w:rPr>
        <w:t xml:space="preserve">: </w:t>
      </w:r>
      <w:r>
        <w:rPr>
          <w:sz w:val="16"/>
          <w:szCs w:val="16"/>
          <w:lang w:val="fr-FR"/>
        </w:rPr>
        <w:t>la Commission européenne</w:t>
      </w:r>
      <w:r w:rsidRPr="00914201">
        <w:rPr>
          <w:sz w:val="16"/>
          <w:szCs w:val="16"/>
          <w:lang w:val="fr-FR"/>
        </w:rPr>
        <w:t xml:space="preserve">; </w:t>
      </w:r>
      <w:r>
        <w:rPr>
          <w:sz w:val="16"/>
          <w:szCs w:val="16"/>
          <w:lang w:val="fr-FR"/>
        </w:rPr>
        <w:t>les Pays-Bas</w:t>
      </w:r>
      <w:r w:rsidRPr="00914201">
        <w:rPr>
          <w:sz w:val="16"/>
          <w:szCs w:val="16"/>
          <w:lang w:val="fr-FR"/>
        </w:rPr>
        <w:t>.</w:t>
      </w:r>
      <w:r>
        <w:rPr>
          <w:sz w:val="16"/>
          <w:szCs w:val="16"/>
          <w:lang w:val="fr-FR"/>
        </w:rPr>
        <w:t xml:space="preserve"> </w:t>
      </w:r>
    </w:p>
  </w:footnote>
  <w:footnote w:id="5">
    <w:p w14:paraId="01B67B4B" w14:textId="53C87E2E" w:rsidR="00A43962" w:rsidRPr="00914201" w:rsidRDefault="00A43962" w:rsidP="009C7B0E">
      <w:pPr>
        <w:pStyle w:val="FootnoteText"/>
        <w:rPr>
          <w:sz w:val="16"/>
          <w:szCs w:val="16"/>
          <w:lang w:val="fr-FR"/>
        </w:rPr>
      </w:pPr>
      <w:r w:rsidRPr="00914201">
        <w:rPr>
          <w:rStyle w:val="FootnoteReference"/>
          <w:lang w:val="fr-FR"/>
        </w:rPr>
        <w:footnoteRef/>
      </w:r>
      <w:r w:rsidRPr="00914201">
        <w:rPr>
          <w:lang w:val="fr-FR"/>
        </w:rPr>
        <w:t xml:space="preserve"> </w:t>
      </w:r>
      <w:r w:rsidRPr="00663316">
        <w:rPr>
          <w:sz w:val="16"/>
          <w:szCs w:val="16"/>
          <w:lang w:val="fr-FR"/>
        </w:rPr>
        <w:t xml:space="preserve">Une possibilité, qui sera discutée de façon plus approfondie avec le </w:t>
      </w:r>
      <w:r w:rsidRPr="000A28F7">
        <w:rPr>
          <w:sz w:val="16"/>
          <w:szCs w:val="16"/>
          <w:lang w:val="fr-FR"/>
        </w:rPr>
        <w:t>Partenariat global</w:t>
      </w:r>
      <w:r>
        <w:rPr>
          <w:sz w:val="16"/>
          <w:szCs w:val="16"/>
          <w:lang w:val="fr-FR"/>
        </w:rPr>
        <w:t>, serait qu’il soit possible – si les pays souhaitent le faire – de coder les données destinées à l’ensemble des indicateurs de base de Partenariat global de façon à ce que les données spécifiques au secteur de la santé correspondant à ces nouveaux indicateurs puissent être obtenues</w:t>
      </w:r>
      <w:r w:rsidRPr="00914201">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F7FE" w14:textId="77777777" w:rsidR="00A43962" w:rsidRDefault="00A43962" w:rsidP="00967537">
    <w:pPr>
      <w:pStyle w:val="Header"/>
    </w:pPr>
    <w:r>
      <w:rPr>
        <w:noProof/>
      </w:rPr>
      <w:drawing>
        <wp:inline distT="0" distB="0" distL="0" distR="0" wp14:anchorId="04F3E47D" wp14:editId="1B9139F9">
          <wp:extent cx="866692" cy="368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778" cy="367339"/>
                  </a:xfrm>
                  <a:prstGeom prst="rect">
                    <a:avLst/>
                  </a:prstGeom>
                  <a:noFill/>
                  <a:ln>
                    <a:noFill/>
                  </a:ln>
                </pic:spPr>
              </pic:pic>
            </a:graphicData>
          </a:graphic>
        </wp:inline>
      </w:drawing>
    </w:r>
    <w:r>
      <w:t>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19"/>
    <w:multiLevelType w:val="hybridMultilevel"/>
    <w:tmpl w:val="25E2B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5C61"/>
    <w:multiLevelType w:val="hybridMultilevel"/>
    <w:tmpl w:val="6B8A077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8D86529"/>
    <w:multiLevelType w:val="hybridMultilevel"/>
    <w:tmpl w:val="432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E6FA4"/>
    <w:multiLevelType w:val="multilevel"/>
    <w:tmpl w:val="852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2BD2"/>
    <w:multiLevelType w:val="hybridMultilevel"/>
    <w:tmpl w:val="81A6393A"/>
    <w:lvl w:ilvl="0" w:tplc="CA06E3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625"/>
    <w:multiLevelType w:val="hybridMultilevel"/>
    <w:tmpl w:val="E38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04A32"/>
    <w:multiLevelType w:val="hybridMultilevel"/>
    <w:tmpl w:val="4F68B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A2FA6"/>
    <w:multiLevelType w:val="hybridMultilevel"/>
    <w:tmpl w:val="8DBCCB38"/>
    <w:lvl w:ilvl="0" w:tplc="A130226C">
      <w:start w:val="1"/>
      <w:numFmt w:val="bullet"/>
      <w:lvlText w:val="□"/>
      <w:lvlJc w:val="left"/>
      <w:pPr>
        <w:ind w:left="360" w:hanging="360"/>
      </w:pPr>
      <w:rPr>
        <w:rFonts w:ascii="Arial Narrow" w:hAnsi="Arial Narro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AB799C"/>
    <w:multiLevelType w:val="hybridMultilevel"/>
    <w:tmpl w:val="80387F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A01A0"/>
    <w:multiLevelType w:val="hybridMultilevel"/>
    <w:tmpl w:val="FED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02B7B"/>
    <w:multiLevelType w:val="hybridMultilevel"/>
    <w:tmpl w:val="AAF273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06C58"/>
    <w:multiLevelType w:val="hybridMultilevel"/>
    <w:tmpl w:val="81D41B7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30D1C"/>
    <w:multiLevelType w:val="hybridMultilevel"/>
    <w:tmpl w:val="0EF2C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25A24"/>
    <w:multiLevelType w:val="hybridMultilevel"/>
    <w:tmpl w:val="C3C84E4A"/>
    <w:lvl w:ilvl="0" w:tplc="CA06E3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923FF"/>
    <w:multiLevelType w:val="hybridMultilevel"/>
    <w:tmpl w:val="AC862052"/>
    <w:lvl w:ilvl="0" w:tplc="99E0AD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61E24"/>
    <w:multiLevelType w:val="hybridMultilevel"/>
    <w:tmpl w:val="1E90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C1DD3"/>
    <w:multiLevelType w:val="hybridMultilevel"/>
    <w:tmpl w:val="C636C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32008"/>
    <w:multiLevelType w:val="hybridMultilevel"/>
    <w:tmpl w:val="E9EA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4384A"/>
    <w:multiLevelType w:val="hybridMultilevel"/>
    <w:tmpl w:val="5A6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55A83"/>
    <w:multiLevelType w:val="hybridMultilevel"/>
    <w:tmpl w:val="37D8B6F0"/>
    <w:lvl w:ilvl="0" w:tplc="AA60AC2C">
      <w:start w:val="1"/>
      <w:numFmt w:val="bullet"/>
      <w:lvlText w:val="•"/>
      <w:lvlJc w:val="left"/>
      <w:pPr>
        <w:tabs>
          <w:tab w:val="num" w:pos="720"/>
        </w:tabs>
        <w:ind w:left="720" w:hanging="360"/>
      </w:pPr>
      <w:rPr>
        <w:rFonts w:ascii="Times New Roman" w:hAnsi="Times New Roman" w:hint="default"/>
      </w:rPr>
    </w:lvl>
    <w:lvl w:ilvl="1" w:tplc="7F94C190" w:tentative="1">
      <w:start w:val="1"/>
      <w:numFmt w:val="bullet"/>
      <w:lvlText w:val="•"/>
      <w:lvlJc w:val="left"/>
      <w:pPr>
        <w:tabs>
          <w:tab w:val="num" w:pos="1440"/>
        </w:tabs>
        <w:ind w:left="1440" w:hanging="360"/>
      </w:pPr>
      <w:rPr>
        <w:rFonts w:ascii="Times New Roman" w:hAnsi="Times New Roman" w:hint="default"/>
      </w:rPr>
    </w:lvl>
    <w:lvl w:ilvl="2" w:tplc="3FD40BD8" w:tentative="1">
      <w:start w:val="1"/>
      <w:numFmt w:val="bullet"/>
      <w:lvlText w:val="•"/>
      <w:lvlJc w:val="left"/>
      <w:pPr>
        <w:tabs>
          <w:tab w:val="num" w:pos="2160"/>
        </w:tabs>
        <w:ind w:left="2160" w:hanging="360"/>
      </w:pPr>
      <w:rPr>
        <w:rFonts w:ascii="Times New Roman" w:hAnsi="Times New Roman" w:hint="default"/>
      </w:rPr>
    </w:lvl>
    <w:lvl w:ilvl="3" w:tplc="DFE8852A" w:tentative="1">
      <w:start w:val="1"/>
      <w:numFmt w:val="bullet"/>
      <w:lvlText w:val="•"/>
      <w:lvlJc w:val="left"/>
      <w:pPr>
        <w:tabs>
          <w:tab w:val="num" w:pos="2880"/>
        </w:tabs>
        <w:ind w:left="2880" w:hanging="360"/>
      </w:pPr>
      <w:rPr>
        <w:rFonts w:ascii="Times New Roman" w:hAnsi="Times New Roman" w:hint="default"/>
      </w:rPr>
    </w:lvl>
    <w:lvl w:ilvl="4" w:tplc="275EB2DA" w:tentative="1">
      <w:start w:val="1"/>
      <w:numFmt w:val="bullet"/>
      <w:lvlText w:val="•"/>
      <w:lvlJc w:val="left"/>
      <w:pPr>
        <w:tabs>
          <w:tab w:val="num" w:pos="3600"/>
        </w:tabs>
        <w:ind w:left="3600" w:hanging="360"/>
      </w:pPr>
      <w:rPr>
        <w:rFonts w:ascii="Times New Roman" w:hAnsi="Times New Roman" w:hint="default"/>
      </w:rPr>
    </w:lvl>
    <w:lvl w:ilvl="5" w:tplc="C24C7DC0" w:tentative="1">
      <w:start w:val="1"/>
      <w:numFmt w:val="bullet"/>
      <w:lvlText w:val="•"/>
      <w:lvlJc w:val="left"/>
      <w:pPr>
        <w:tabs>
          <w:tab w:val="num" w:pos="4320"/>
        </w:tabs>
        <w:ind w:left="4320" w:hanging="360"/>
      </w:pPr>
      <w:rPr>
        <w:rFonts w:ascii="Times New Roman" w:hAnsi="Times New Roman" w:hint="default"/>
      </w:rPr>
    </w:lvl>
    <w:lvl w:ilvl="6" w:tplc="AF4A49C4" w:tentative="1">
      <w:start w:val="1"/>
      <w:numFmt w:val="bullet"/>
      <w:lvlText w:val="•"/>
      <w:lvlJc w:val="left"/>
      <w:pPr>
        <w:tabs>
          <w:tab w:val="num" w:pos="5040"/>
        </w:tabs>
        <w:ind w:left="5040" w:hanging="360"/>
      </w:pPr>
      <w:rPr>
        <w:rFonts w:ascii="Times New Roman" w:hAnsi="Times New Roman" w:hint="default"/>
      </w:rPr>
    </w:lvl>
    <w:lvl w:ilvl="7" w:tplc="3CD07938" w:tentative="1">
      <w:start w:val="1"/>
      <w:numFmt w:val="bullet"/>
      <w:lvlText w:val="•"/>
      <w:lvlJc w:val="left"/>
      <w:pPr>
        <w:tabs>
          <w:tab w:val="num" w:pos="5760"/>
        </w:tabs>
        <w:ind w:left="5760" w:hanging="360"/>
      </w:pPr>
      <w:rPr>
        <w:rFonts w:ascii="Times New Roman" w:hAnsi="Times New Roman" w:hint="default"/>
      </w:rPr>
    </w:lvl>
    <w:lvl w:ilvl="8" w:tplc="FE0CDA2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8778A4"/>
    <w:multiLevelType w:val="hybridMultilevel"/>
    <w:tmpl w:val="DCD6A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35DC6"/>
    <w:multiLevelType w:val="hybridMultilevel"/>
    <w:tmpl w:val="6EECE1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23A3222"/>
    <w:multiLevelType w:val="hybridMultilevel"/>
    <w:tmpl w:val="C096F6A6"/>
    <w:lvl w:ilvl="0" w:tplc="9292857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773CDE"/>
    <w:multiLevelType w:val="hybridMultilevel"/>
    <w:tmpl w:val="88E059C2"/>
    <w:lvl w:ilvl="0" w:tplc="04090015">
      <w:start w:val="1"/>
      <w:numFmt w:val="upperLetter"/>
      <w:lvlText w:val="%1."/>
      <w:lvlJc w:val="left"/>
      <w:pPr>
        <w:ind w:left="360" w:hanging="360"/>
      </w:pPr>
      <w:rPr>
        <w:rFonts w:hint="default"/>
      </w:rPr>
    </w:lvl>
    <w:lvl w:ilvl="1" w:tplc="61B6F220">
      <w:numFmt w:val="bullet"/>
      <w:lvlText w:val="–"/>
      <w:lvlJc w:val="left"/>
      <w:pPr>
        <w:ind w:left="1080" w:hanging="360"/>
      </w:pPr>
      <w:rPr>
        <w:rFonts w:ascii="Calibri" w:eastAsiaTheme="minorEastAsia"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917526"/>
    <w:multiLevelType w:val="hybridMultilevel"/>
    <w:tmpl w:val="EC5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C1BC0"/>
    <w:multiLevelType w:val="hybridMultilevel"/>
    <w:tmpl w:val="A12EF768"/>
    <w:lvl w:ilvl="0" w:tplc="CA06E3C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F098B"/>
    <w:multiLevelType w:val="hybridMultilevel"/>
    <w:tmpl w:val="A3600DDE"/>
    <w:lvl w:ilvl="0" w:tplc="4A6C657A">
      <w:start w:val="1"/>
      <w:numFmt w:val="bullet"/>
      <w:lvlText w:val="➔"/>
      <w:lvlJc w:val="left"/>
      <w:pPr>
        <w:tabs>
          <w:tab w:val="num" w:pos="720"/>
        </w:tabs>
        <w:ind w:left="720" w:hanging="360"/>
      </w:pPr>
      <w:rPr>
        <w:rFonts w:ascii="MS Mincho" w:hAnsi="MS Mincho" w:hint="default"/>
      </w:rPr>
    </w:lvl>
    <w:lvl w:ilvl="1" w:tplc="705A93AE" w:tentative="1">
      <w:start w:val="1"/>
      <w:numFmt w:val="bullet"/>
      <w:lvlText w:val="➔"/>
      <w:lvlJc w:val="left"/>
      <w:pPr>
        <w:tabs>
          <w:tab w:val="num" w:pos="1440"/>
        </w:tabs>
        <w:ind w:left="1440" w:hanging="360"/>
      </w:pPr>
      <w:rPr>
        <w:rFonts w:ascii="MS Mincho" w:hAnsi="MS Mincho" w:hint="default"/>
      </w:rPr>
    </w:lvl>
    <w:lvl w:ilvl="2" w:tplc="11707886" w:tentative="1">
      <w:start w:val="1"/>
      <w:numFmt w:val="bullet"/>
      <w:lvlText w:val="➔"/>
      <w:lvlJc w:val="left"/>
      <w:pPr>
        <w:tabs>
          <w:tab w:val="num" w:pos="2160"/>
        </w:tabs>
        <w:ind w:left="2160" w:hanging="360"/>
      </w:pPr>
      <w:rPr>
        <w:rFonts w:ascii="MS Mincho" w:hAnsi="MS Mincho" w:hint="default"/>
      </w:rPr>
    </w:lvl>
    <w:lvl w:ilvl="3" w:tplc="0DF6091C" w:tentative="1">
      <w:start w:val="1"/>
      <w:numFmt w:val="bullet"/>
      <w:lvlText w:val="➔"/>
      <w:lvlJc w:val="left"/>
      <w:pPr>
        <w:tabs>
          <w:tab w:val="num" w:pos="2880"/>
        </w:tabs>
        <w:ind w:left="2880" w:hanging="360"/>
      </w:pPr>
      <w:rPr>
        <w:rFonts w:ascii="MS Mincho" w:hAnsi="MS Mincho" w:hint="default"/>
      </w:rPr>
    </w:lvl>
    <w:lvl w:ilvl="4" w:tplc="E0DE1FEA" w:tentative="1">
      <w:start w:val="1"/>
      <w:numFmt w:val="bullet"/>
      <w:lvlText w:val="➔"/>
      <w:lvlJc w:val="left"/>
      <w:pPr>
        <w:tabs>
          <w:tab w:val="num" w:pos="3600"/>
        </w:tabs>
        <w:ind w:left="3600" w:hanging="360"/>
      </w:pPr>
      <w:rPr>
        <w:rFonts w:ascii="MS Mincho" w:hAnsi="MS Mincho" w:hint="default"/>
      </w:rPr>
    </w:lvl>
    <w:lvl w:ilvl="5" w:tplc="A3B85A18" w:tentative="1">
      <w:start w:val="1"/>
      <w:numFmt w:val="bullet"/>
      <w:lvlText w:val="➔"/>
      <w:lvlJc w:val="left"/>
      <w:pPr>
        <w:tabs>
          <w:tab w:val="num" w:pos="4320"/>
        </w:tabs>
        <w:ind w:left="4320" w:hanging="360"/>
      </w:pPr>
      <w:rPr>
        <w:rFonts w:ascii="MS Mincho" w:hAnsi="MS Mincho" w:hint="default"/>
      </w:rPr>
    </w:lvl>
    <w:lvl w:ilvl="6" w:tplc="E26A94FC" w:tentative="1">
      <w:start w:val="1"/>
      <w:numFmt w:val="bullet"/>
      <w:lvlText w:val="➔"/>
      <w:lvlJc w:val="left"/>
      <w:pPr>
        <w:tabs>
          <w:tab w:val="num" w:pos="5040"/>
        </w:tabs>
        <w:ind w:left="5040" w:hanging="360"/>
      </w:pPr>
      <w:rPr>
        <w:rFonts w:ascii="MS Mincho" w:hAnsi="MS Mincho" w:hint="default"/>
      </w:rPr>
    </w:lvl>
    <w:lvl w:ilvl="7" w:tplc="31F88480" w:tentative="1">
      <w:start w:val="1"/>
      <w:numFmt w:val="bullet"/>
      <w:lvlText w:val="➔"/>
      <w:lvlJc w:val="left"/>
      <w:pPr>
        <w:tabs>
          <w:tab w:val="num" w:pos="5760"/>
        </w:tabs>
        <w:ind w:left="5760" w:hanging="360"/>
      </w:pPr>
      <w:rPr>
        <w:rFonts w:ascii="MS Mincho" w:hAnsi="MS Mincho" w:hint="default"/>
      </w:rPr>
    </w:lvl>
    <w:lvl w:ilvl="8" w:tplc="BCAEE12A" w:tentative="1">
      <w:start w:val="1"/>
      <w:numFmt w:val="bullet"/>
      <w:lvlText w:val="➔"/>
      <w:lvlJc w:val="left"/>
      <w:pPr>
        <w:tabs>
          <w:tab w:val="num" w:pos="6480"/>
        </w:tabs>
        <w:ind w:left="6480" w:hanging="360"/>
      </w:pPr>
      <w:rPr>
        <w:rFonts w:ascii="MS Mincho" w:hAnsi="MS Mincho" w:hint="default"/>
      </w:rPr>
    </w:lvl>
  </w:abstractNum>
  <w:abstractNum w:abstractNumId="27">
    <w:nsid w:val="66F6260A"/>
    <w:multiLevelType w:val="hybridMultilevel"/>
    <w:tmpl w:val="2A72C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861971"/>
    <w:multiLevelType w:val="hybridMultilevel"/>
    <w:tmpl w:val="4EC0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4A2D0E"/>
    <w:multiLevelType w:val="hybridMultilevel"/>
    <w:tmpl w:val="E92E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27EF5"/>
    <w:multiLevelType w:val="hybridMultilevel"/>
    <w:tmpl w:val="D5F22B2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D2C05"/>
    <w:multiLevelType w:val="hybridMultilevel"/>
    <w:tmpl w:val="DF6A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1"/>
  </w:num>
  <w:num w:numId="3">
    <w:abstractNumId w:val="8"/>
  </w:num>
  <w:num w:numId="4">
    <w:abstractNumId w:val="10"/>
  </w:num>
  <w:num w:numId="5">
    <w:abstractNumId w:val="30"/>
  </w:num>
  <w:num w:numId="6">
    <w:abstractNumId w:val="4"/>
  </w:num>
  <w:num w:numId="7">
    <w:abstractNumId w:val="14"/>
  </w:num>
  <w:num w:numId="8">
    <w:abstractNumId w:val="2"/>
  </w:num>
  <w:num w:numId="9">
    <w:abstractNumId w:val="13"/>
  </w:num>
  <w:num w:numId="10">
    <w:abstractNumId w:val="25"/>
  </w:num>
  <w:num w:numId="11">
    <w:abstractNumId w:val="1"/>
  </w:num>
  <w:num w:numId="12">
    <w:abstractNumId w:val="0"/>
  </w:num>
  <w:num w:numId="13">
    <w:abstractNumId w:val="3"/>
  </w:num>
  <w:num w:numId="14">
    <w:abstractNumId w:val="26"/>
  </w:num>
  <w:num w:numId="15">
    <w:abstractNumId w:val="21"/>
  </w:num>
  <w:num w:numId="16">
    <w:abstractNumId w:val="22"/>
  </w:num>
  <w:num w:numId="17">
    <w:abstractNumId w:val="19"/>
  </w:num>
  <w:num w:numId="18">
    <w:abstractNumId w:val="9"/>
  </w:num>
  <w:num w:numId="19">
    <w:abstractNumId w:val="17"/>
  </w:num>
  <w:num w:numId="20">
    <w:abstractNumId w:val="12"/>
  </w:num>
  <w:num w:numId="21">
    <w:abstractNumId w:val="27"/>
  </w:num>
  <w:num w:numId="22">
    <w:abstractNumId w:val="16"/>
  </w:num>
  <w:num w:numId="23">
    <w:abstractNumId w:val="24"/>
  </w:num>
  <w:num w:numId="24">
    <w:abstractNumId w:val="6"/>
  </w:num>
  <w:num w:numId="25">
    <w:abstractNumId w:val="18"/>
  </w:num>
  <w:num w:numId="26">
    <w:abstractNumId w:val="28"/>
  </w:num>
  <w:num w:numId="27">
    <w:abstractNumId w:val="7"/>
  </w:num>
  <w:num w:numId="28">
    <w:abstractNumId w:val="5"/>
  </w:num>
  <w:num w:numId="29">
    <w:abstractNumId w:val="11"/>
  </w:num>
  <w:num w:numId="30">
    <w:abstractNumId w:val="20"/>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42"/>
    <w:rsid w:val="00002EAE"/>
    <w:rsid w:val="00003B49"/>
    <w:rsid w:val="00020F4F"/>
    <w:rsid w:val="000451E1"/>
    <w:rsid w:val="00052E21"/>
    <w:rsid w:val="000638EE"/>
    <w:rsid w:val="00064023"/>
    <w:rsid w:val="00080D09"/>
    <w:rsid w:val="00084D58"/>
    <w:rsid w:val="000858B4"/>
    <w:rsid w:val="00085E98"/>
    <w:rsid w:val="000869FB"/>
    <w:rsid w:val="00087D38"/>
    <w:rsid w:val="00092E2D"/>
    <w:rsid w:val="000A1F56"/>
    <w:rsid w:val="000A28F7"/>
    <w:rsid w:val="000A58B4"/>
    <w:rsid w:val="000B370D"/>
    <w:rsid w:val="000C3434"/>
    <w:rsid w:val="000C5ECD"/>
    <w:rsid w:val="000E224D"/>
    <w:rsid w:val="000F3547"/>
    <w:rsid w:val="000F4098"/>
    <w:rsid w:val="00104D8A"/>
    <w:rsid w:val="00111171"/>
    <w:rsid w:val="00120B73"/>
    <w:rsid w:val="0013035D"/>
    <w:rsid w:val="00135FAE"/>
    <w:rsid w:val="00137412"/>
    <w:rsid w:val="0014028A"/>
    <w:rsid w:val="00143322"/>
    <w:rsid w:val="00144059"/>
    <w:rsid w:val="00144488"/>
    <w:rsid w:val="00144A0E"/>
    <w:rsid w:val="00152783"/>
    <w:rsid w:val="00182E95"/>
    <w:rsid w:val="0018508D"/>
    <w:rsid w:val="00185ECA"/>
    <w:rsid w:val="00192A72"/>
    <w:rsid w:val="0019401E"/>
    <w:rsid w:val="001A4161"/>
    <w:rsid w:val="001A54B2"/>
    <w:rsid w:val="001B00A4"/>
    <w:rsid w:val="001D2815"/>
    <w:rsid w:val="001D4DCB"/>
    <w:rsid w:val="001D680D"/>
    <w:rsid w:val="001D7DDB"/>
    <w:rsid w:val="001E0449"/>
    <w:rsid w:val="001F4594"/>
    <w:rsid w:val="00202247"/>
    <w:rsid w:val="0021644E"/>
    <w:rsid w:val="00231786"/>
    <w:rsid w:val="0023393F"/>
    <w:rsid w:val="00244D65"/>
    <w:rsid w:val="00246A5A"/>
    <w:rsid w:val="00261CFB"/>
    <w:rsid w:val="00262570"/>
    <w:rsid w:val="00263740"/>
    <w:rsid w:val="00271105"/>
    <w:rsid w:val="002722E5"/>
    <w:rsid w:val="00276E8E"/>
    <w:rsid w:val="0027789D"/>
    <w:rsid w:val="00277FF1"/>
    <w:rsid w:val="00280A24"/>
    <w:rsid w:val="00281104"/>
    <w:rsid w:val="00285EE1"/>
    <w:rsid w:val="00287A06"/>
    <w:rsid w:val="002910AD"/>
    <w:rsid w:val="002914F3"/>
    <w:rsid w:val="0029700F"/>
    <w:rsid w:val="002A09CC"/>
    <w:rsid w:val="002A255B"/>
    <w:rsid w:val="002A3E80"/>
    <w:rsid w:val="002B6277"/>
    <w:rsid w:val="002C48DF"/>
    <w:rsid w:val="002D55EA"/>
    <w:rsid w:val="002E1877"/>
    <w:rsid w:val="002E4AA5"/>
    <w:rsid w:val="002F056A"/>
    <w:rsid w:val="002F0A1C"/>
    <w:rsid w:val="002F1421"/>
    <w:rsid w:val="003005CB"/>
    <w:rsid w:val="00300E3E"/>
    <w:rsid w:val="00310876"/>
    <w:rsid w:val="00310C31"/>
    <w:rsid w:val="003141CB"/>
    <w:rsid w:val="003161F0"/>
    <w:rsid w:val="00317E03"/>
    <w:rsid w:val="003224D3"/>
    <w:rsid w:val="0032602A"/>
    <w:rsid w:val="00331F02"/>
    <w:rsid w:val="00333BCD"/>
    <w:rsid w:val="0034041C"/>
    <w:rsid w:val="0034138F"/>
    <w:rsid w:val="00343093"/>
    <w:rsid w:val="00346576"/>
    <w:rsid w:val="0035034F"/>
    <w:rsid w:val="00356FDD"/>
    <w:rsid w:val="003624C6"/>
    <w:rsid w:val="0036437F"/>
    <w:rsid w:val="00365C45"/>
    <w:rsid w:val="003662F1"/>
    <w:rsid w:val="00367147"/>
    <w:rsid w:val="00367165"/>
    <w:rsid w:val="00372B0B"/>
    <w:rsid w:val="003811E7"/>
    <w:rsid w:val="00390052"/>
    <w:rsid w:val="00395BF9"/>
    <w:rsid w:val="00396804"/>
    <w:rsid w:val="003A06D1"/>
    <w:rsid w:val="003A1509"/>
    <w:rsid w:val="003A4041"/>
    <w:rsid w:val="003A4E76"/>
    <w:rsid w:val="003B0649"/>
    <w:rsid w:val="003B74A7"/>
    <w:rsid w:val="003C557A"/>
    <w:rsid w:val="003D2E6E"/>
    <w:rsid w:val="003D4467"/>
    <w:rsid w:val="003E1022"/>
    <w:rsid w:val="003E4048"/>
    <w:rsid w:val="003F1274"/>
    <w:rsid w:val="003F56EA"/>
    <w:rsid w:val="00402DB6"/>
    <w:rsid w:val="00405BFA"/>
    <w:rsid w:val="00412246"/>
    <w:rsid w:val="0041716A"/>
    <w:rsid w:val="00422355"/>
    <w:rsid w:val="0042638E"/>
    <w:rsid w:val="00426403"/>
    <w:rsid w:val="0043379F"/>
    <w:rsid w:val="004413AE"/>
    <w:rsid w:val="00441FE8"/>
    <w:rsid w:val="00442AAD"/>
    <w:rsid w:val="00442FB7"/>
    <w:rsid w:val="00443679"/>
    <w:rsid w:val="00444879"/>
    <w:rsid w:val="0044617F"/>
    <w:rsid w:val="00450405"/>
    <w:rsid w:val="004545B0"/>
    <w:rsid w:val="004604FE"/>
    <w:rsid w:val="00462A91"/>
    <w:rsid w:val="0046686A"/>
    <w:rsid w:val="004825C1"/>
    <w:rsid w:val="00483B25"/>
    <w:rsid w:val="00485ABA"/>
    <w:rsid w:val="00485C55"/>
    <w:rsid w:val="00495DA5"/>
    <w:rsid w:val="004963AE"/>
    <w:rsid w:val="004A13DC"/>
    <w:rsid w:val="004A5866"/>
    <w:rsid w:val="004B0F3D"/>
    <w:rsid w:val="004B280A"/>
    <w:rsid w:val="004B41E1"/>
    <w:rsid w:val="004B60F1"/>
    <w:rsid w:val="004C21AE"/>
    <w:rsid w:val="004C4306"/>
    <w:rsid w:val="004E1D0C"/>
    <w:rsid w:val="004E49AB"/>
    <w:rsid w:val="004F02F6"/>
    <w:rsid w:val="004F3BB7"/>
    <w:rsid w:val="004F436A"/>
    <w:rsid w:val="004F5798"/>
    <w:rsid w:val="004F5B69"/>
    <w:rsid w:val="004F6E84"/>
    <w:rsid w:val="00500BBF"/>
    <w:rsid w:val="005059FF"/>
    <w:rsid w:val="00505D7D"/>
    <w:rsid w:val="00507156"/>
    <w:rsid w:val="005121B3"/>
    <w:rsid w:val="00512A3A"/>
    <w:rsid w:val="00514534"/>
    <w:rsid w:val="00515924"/>
    <w:rsid w:val="005209ED"/>
    <w:rsid w:val="00520F73"/>
    <w:rsid w:val="00526E90"/>
    <w:rsid w:val="00537193"/>
    <w:rsid w:val="00545D80"/>
    <w:rsid w:val="00550342"/>
    <w:rsid w:val="005521C0"/>
    <w:rsid w:val="00561ADA"/>
    <w:rsid w:val="00576EC5"/>
    <w:rsid w:val="00582893"/>
    <w:rsid w:val="005850B8"/>
    <w:rsid w:val="00585863"/>
    <w:rsid w:val="00585C6C"/>
    <w:rsid w:val="00587ADC"/>
    <w:rsid w:val="005B2BB9"/>
    <w:rsid w:val="005B39DE"/>
    <w:rsid w:val="005B4B73"/>
    <w:rsid w:val="005B4DE7"/>
    <w:rsid w:val="005B4EA1"/>
    <w:rsid w:val="005B764D"/>
    <w:rsid w:val="005C12F8"/>
    <w:rsid w:val="005D0A9C"/>
    <w:rsid w:val="005D1303"/>
    <w:rsid w:val="005D21DD"/>
    <w:rsid w:val="005E22EF"/>
    <w:rsid w:val="005E6451"/>
    <w:rsid w:val="005E7725"/>
    <w:rsid w:val="0060542C"/>
    <w:rsid w:val="00605E7F"/>
    <w:rsid w:val="00606335"/>
    <w:rsid w:val="00610A35"/>
    <w:rsid w:val="00610DB6"/>
    <w:rsid w:val="006261DB"/>
    <w:rsid w:val="00640F76"/>
    <w:rsid w:val="00642510"/>
    <w:rsid w:val="00643235"/>
    <w:rsid w:val="0064531A"/>
    <w:rsid w:val="00645B93"/>
    <w:rsid w:val="00646BC1"/>
    <w:rsid w:val="00647913"/>
    <w:rsid w:val="00655751"/>
    <w:rsid w:val="00663316"/>
    <w:rsid w:val="00664928"/>
    <w:rsid w:val="00664B9F"/>
    <w:rsid w:val="00665620"/>
    <w:rsid w:val="006761C1"/>
    <w:rsid w:val="00686E84"/>
    <w:rsid w:val="006A1168"/>
    <w:rsid w:val="006A120C"/>
    <w:rsid w:val="006B4725"/>
    <w:rsid w:val="006C3CEF"/>
    <w:rsid w:val="006D0271"/>
    <w:rsid w:val="006D5BAB"/>
    <w:rsid w:val="006E0908"/>
    <w:rsid w:val="006E4C3D"/>
    <w:rsid w:val="006E5A5D"/>
    <w:rsid w:val="006F42F9"/>
    <w:rsid w:val="006F43B4"/>
    <w:rsid w:val="006F6B06"/>
    <w:rsid w:val="007070C3"/>
    <w:rsid w:val="00716818"/>
    <w:rsid w:val="00717C30"/>
    <w:rsid w:val="0072304C"/>
    <w:rsid w:val="0072502C"/>
    <w:rsid w:val="00726D75"/>
    <w:rsid w:val="00732BA4"/>
    <w:rsid w:val="00740AF5"/>
    <w:rsid w:val="007414EB"/>
    <w:rsid w:val="007440F8"/>
    <w:rsid w:val="00745EC5"/>
    <w:rsid w:val="00746A2B"/>
    <w:rsid w:val="0075019D"/>
    <w:rsid w:val="00760E0F"/>
    <w:rsid w:val="00766921"/>
    <w:rsid w:val="00771876"/>
    <w:rsid w:val="0077234A"/>
    <w:rsid w:val="007776BD"/>
    <w:rsid w:val="007811C2"/>
    <w:rsid w:val="00785FFC"/>
    <w:rsid w:val="00787572"/>
    <w:rsid w:val="0079084B"/>
    <w:rsid w:val="00792274"/>
    <w:rsid w:val="00794F2B"/>
    <w:rsid w:val="007B2120"/>
    <w:rsid w:val="007C4ADF"/>
    <w:rsid w:val="007D2F1A"/>
    <w:rsid w:val="007D6EC6"/>
    <w:rsid w:val="007E0032"/>
    <w:rsid w:val="007E1546"/>
    <w:rsid w:val="007E3A9B"/>
    <w:rsid w:val="007F093E"/>
    <w:rsid w:val="007F7B24"/>
    <w:rsid w:val="00802B4E"/>
    <w:rsid w:val="00803ACB"/>
    <w:rsid w:val="00810433"/>
    <w:rsid w:val="00814FC6"/>
    <w:rsid w:val="008205BF"/>
    <w:rsid w:val="00820EF8"/>
    <w:rsid w:val="00821D80"/>
    <w:rsid w:val="00825605"/>
    <w:rsid w:val="0083021B"/>
    <w:rsid w:val="0084380B"/>
    <w:rsid w:val="00846C72"/>
    <w:rsid w:val="00846D04"/>
    <w:rsid w:val="00850F3A"/>
    <w:rsid w:val="00853138"/>
    <w:rsid w:val="0085353F"/>
    <w:rsid w:val="00874B56"/>
    <w:rsid w:val="00877A14"/>
    <w:rsid w:val="00881768"/>
    <w:rsid w:val="00883622"/>
    <w:rsid w:val="00883D6A"/>
    <w:rsid w:val="00885D4D"/>
    <w:rsid w:val="008863E6"/>
    <w:rsid w:val="00890B85"/>
    <w:rsid w:val="0089191C"/>
    <w:rsid w:val="00897996"/>
    <w:rsid w:val="008A28A9"/>
    <w:rsid w:val="008A3632"/>
    <w:rsid w:val="008B4CBB"/>
    <w:rsid w:val="008B68FA"/>
    <w:rsid w:val="008C154D"/>
    <w:rsid w:val="008C1A1B"/>
    <w:rsid w:val="008C6199"/>
    <w:rsid w:val="008C76C5"/>
    <w:rsid w:val="008D3AC0"/>
    <w:rsid w:val="008D5920"/>
    <w:rsid w:val="008D670F"/>
    <w:rsid w:val="008F48D3"/>
    <w:rsid w:val="008F5436"/>
    <w:rsid w:val="00902F7B"/>
    <w:rsid w:val="0090708E"/>
    <w:rsid w:val="00912A66"/>
    <w:rsid w:val="00914201"/>
    <w:rsid w:val="00914521"/>
    <w:rsid w:val="0091724C"/>
    <w:rsid w:val="00920551"/>
    <w:rsid w:val="009326AB"/>
    <w:rsid w:val="00937C08"/>
    <w:rsid w:val="009418F1"/>
    <w:rsid w:val="0094401C"/>
    <w:rsid w:val="009476B5"/>
    <w:rsid w:val="0095457F"/>
    <w:rsid w:val="00957C1D"/>
    <w:rsid w:val="00967537"/>
    <w:rsid w:val="00971034"/>
    <w:rsid w:val="0097342A"/>
    <w:rsid w:val="00975387"/>
    <w:rsid w:val="00983AE7"/>
    <w:rsid w:val="009942AF"/>
    <w:rsid w:val="009A370B"/>
    <w:rsid w:val="009A3AB1"/>
    <w:rsid w:val="009A618A"/>
    <w:rsid w:val="009B46C9"/>
    <w:rsid w:val="009B6E80"/>
    <w:rsid w:val="009C0E8F"/>
    <w:rsid w:val="009C20D5"/>
    <w:rsid w:val="009C7B0E"/>
    <w:rsid w:val="009D1573"/>
    <w:rsid w:val="009D237F"/>
    <w:rsid w:val="009D3BF8"/>
    <w:rsid w:val="009E1B71"/>
    <w:rsid w:val="009E320B"/>
    <w:rsid w:val="009E7772"/>
    <w:rsid w:val="009E7E17"/>
    <w:rsid w:val="009E7E38"/>
    <w:rsid w:val="009F0072"/>
    <w:rsid w:val="009F1154"/>
    <w:rsid w:val="009F196A"/>
    <w:rsid w:val="009F5696"/>
    <w:rsid w:val="009F5C32"/>
    <w:rsid w:val="009F7902"/>
    <w:rsid w:val="00A0015D"/>
    <w:rsid w:val="00A0213E"/>
    <w:rsid w:val="00A1030B"/>
    <w:rsid w:val="00A11373"/>
    <w:rsid w:val="00A1343E"/>
    <w:rsid w:val="00A14201"/>
    <w:rsid w:val="00A1524E"/>
    <w:rsid w:val="00A23CF4"/>
    <w:rsid w:val="00A26D9D"/>
    <w:rsid w:val="00A3071F"/>
    <w:rsid w:val="00A30FD2"/>
    <w:rsid w:val="00A34B23"/>
    <w:rsid w:val="00A41599"/>
    <w:rsid w:val="00A43962"/>
    <w:rsid w:val="00A44E77"/>
    <w:rsid w:val="00A462F3"/>
    <w:rsid w:val="00A5327E"/>
    <w:rsid w:val="00A55D9F"/>
    <w:rsid w:val="00A62101"/>
    <w:rsid w:val="00A657AC"/>
    <w:rsid w:val="00A661A5"/>
    <w:rsid w:val="00A67C3D"/>
    <w:rsid w:val="00A74E0E"/>
    <w:rsid w:val="00A75E7D"/>
    <w:rsid w:val="00A812D3"/>
    <w:rsid w:val="00A812DC"/>
    <w:rsid w:val="00A85C26"/>
    <w:rsid w:val="00A86766"/>
    <w:rsid w:val="00A9333F"/>
    <w:rsid w:val="00A94F4C"/>
    <w:rsid w:val="00A95613"/>
    <w:rsid w:val="00AA13A2"/>
    <w:rsid w:val="00AA4150"/>
    <w:rsid w:val="00AB0472"/>
    <w:rsid w:val="00AB4931"/>
    <w:rsid w:val="00AC0F57"/>
    <w:rsid w:val="00AC24E6"/>
    <w:rsid w:val="00AC488C"/>
    <w:rsid w:val="00AD1825"/>
    <w:rsid w:val="00AD3C50"/>
    <w:rsid w:val="00AD5CF6"/>
    <w:rsid w:val="00AD6389"/>
    <w:rsid w:val="00AE4C30"/>
    <w:rsid w:val="00AE5B34"/>
    <w:rsid w:val="00AF005A"/>
    <w:rsid w:val="00B0147D"/>
    <w:rsid w:val="00B0189C"/>
    <w:rsid w:val="00B03A9E"/>
    <w:rsid w:val="00B13113"/>
    <w:rsid w:val="00B30ECF"/>
    <w:rsid w:val="00B31C6C"/>
    <w:rsid w:val="00B43A0C"/>
    <w:rsid w:val="00B45A48"/>
    <w:rsid w:val="00B46076"/>
    <w:rsid w:val="00B53FA3"/>
    <w:rsid w:val="00B54563"/>
    <w:rsid w:val="00B56C35"/>
    <w:rsid w:val="00B57C93"/>
    <w:rsid w:val="00B60FA4"/>
    <w:rsid w:val="00B6144D"/>
    <w:rsid w:val="00B67936"/>
    <w:rsid w:val="00B73015"/>
    <w:rsid w:val="00B80BC6"/>
    <w:rsid w:val="00B811B1"/>
    <w:rsid w:val="00B87628"/>
    <w:rsid w:val="00B879EA"/>
    <w:rsid w:val="00B87E9B"/>
    <w:rsid w:val="00B9002C"/>
    <w:rsid w:val="00B90240"/>
    <w:rsid w:val="00B908FA"/>
    <w:rsid w:val="00B94D1E"/>
    <w:rsid w:val="00BA16C1"/>
    <w:rsid w:val="00BA79F9"/>
    <w:rsid w:val="00BB6878"/>
    <w:rsid w:val="00BC1F68"/>
    <w:rsid w:val="00BC2B3B"/>
    <w:rsid w:val="00BC3B4E"/>
    <w:rsid w:val="00BC5303"/>
    <w:rsid w:val="00BD15E4"/>
    <w:rsid w:val="00BD7DD9"/>
    <w:rsid w:val="00BE507B"/>
    <w:rsid w:val="00BF538D"/>
    <w:rsid w:val="00BF5FAB"/>
    <w:rsid w:val="00C061EA"/>
    <w:rsid w:val="00C1083D"/>
    <w:rsid w:val="00C10CC9"/>
    <w:rsid w:val="00C11A20"/>
    <w:rsid w:val="00C16894"/>
    <w:rsid w:val="00C23366"/>
    <w:rsid w:val="00C25F07"/>
    <w:rsid w:val="00C27B1B"/>
    <w:rsid w:val="00C320F2"/>
    <w:rsid w:val="00C340F4"/>
    <w:rsid w:val="00C34CC0"/>
    <w:rsid w:val="00C40E34"/>
    <w:rsid w:val="00C4782C"/>
    <w:rsid w:val="00C503CA"/>
    <w:rsid w:val="00C5106B"/>
    <w:rsid w:val="00C52BC8"/>
    <w:rsid w:val="00C67CDE"/>
    <w:rsid w:val="00CA4112"/>
    <w:rsid w:val="00CA6A4C"/>
    <w:rsid w:val="00CB170E"/>
    <w:rsid w:val="00CB1F12"/>
    <w:rsid w:val="00CB645E"/>
    <w:rsid w:val="00CB6ED9"/>
    <w:rsid w:val="00CC4E8F"/>
    <w:rsid w:val="00CC599C"/>
    <w:rsid w:val="00CE2913"/>
    <w:rsid w:val="00CE4E69"/>
    <w:rsid w:val="00CE7E97"/>
    <w:rsid w:val="00CF1723"/>
    <w:rsid w:val="00CF3D47"/>
    <w:rsid w:val="00CF6780"/>
    <w:rsid w:val="00D0116B"/>
    <w:rsid w:val="00D015D4"/>
    <w:rsid w:val="00D018BC"/>
    <w:rsid w:val="00D1441F"/>
    <w:rsid w:val="00D21025"/>
    <w:rsid w:val="00D21395"/>
    <w:rsid w:val="00D224B6"/>
    <w:rsid w:val="00D22B95"/>
    <w:rsid w:val="00D27EA1"/>
    <w:rsid w:val="00D31CFB"/>
    <w:rsid w:val="00D32351"/>
    <w:rsid w:val="00D405C9"/>
    <w:rsid w:val="00D47041"/>
    <w:rsid w:val="00D523E4"/>
    <w:rsid w:val="00D53841"/>
    <w:rsid w:val="00D540BC"/>
    <w:rsid w:val="00D66B76"/>
    <w:rsid w:val="00D8318A"/>
    <w:rsid w:val="00D90C9C"/>
    <w:rsid w:val="00D91F3F"/>
    <w:rsid w:val="00DA0DBC"/>
    <w:rsid w:val="00DA1D59"/>
    <w:rsid w:val="00DA7B5A"/>
    <w:rsid w:val="00DB1B28"/>
    <w:rsid w:val="00DB1C9B"/>
    <w:rsid w:val="00DB62C7"/>
    <w:rsid w:val="00DB6AB1"/>
    <w:rsid w:val="00DB7288"/>
    <w:rsid w:val="00DB7C1C"/>
    <w:rsid w:val="00DC14B6"/>
    <w:rsid w:val="00DC4B33"/>
    <w:rsid w:val="00DD2611"/>
    <w:rsid w:val="00DD3248"/>
    <w:rsid w:val="00DE157C"/>
    <w:rsid w:val="00DE6677"/>
    <w:rsid w:val="00DF7B94"/>
    <w:rsid w:val="00E0300A"/>
    <w:rsid w:val="00E039BA"/>
    <w:rsid w:val="00E06640"/>
    <w:rsid w:val="00E078AE"/>
    <w:rsid w:val="00E401EB"/>
    <w:rsid w:val="00E47B2B"/>
    <w:rsid w:val="00E51B7A"/>
    <w:rsid w:val="00E558AD"/>
    <w:rsid w:val="00E56867"/>
    <w:rsid w:val="00E63272"/>
    <w:rsid w:val="00E63CAC"/>
    <w:rsid w:val="00E65426"/>
    <w:rsid w:val="00E84862"/>
    <w:rsid w:val="00E901F2"/>
    <w:rsid w:val="00E94E6D"/>
    <w:rsid w:val="00E963E4"/>
    <w:rsid w:val="00EA1EB4"/>
    <w:rsid w:val="00EA374D"/>
    <w:rsid w:val="00EA5E7A"/>
    <w:rsid w:val="00EA7EBC"/>
    <w:rsid w:val="00EB5371"/>
    <w:rsid w:val="00ED3D05"/>
    <w:rsid w:val="00ED69BF"/>
    <w:rsid w:val="00EE2975"/>
    <w:rsid w:val="00EE326F"/>
    <w:rsid w:val="00EE75E5"/>
    <w:rsid w:val="00EF3454"/>
    <w:rsid w:val="00EF4943"/>
    <w:rsid w:val="00EF4C97"/>
    <w:rsid w:val="00F1081D"/>
    <w:rsid w:val="00F156B6"/>
    <w:rsid w:val="00F156F4"/>
    <w:rsid w:val="00F26218"/>
    <w:rsid w:val="00F2641C"/>
    <w:rsid w:val="00F2740F"/>
    <w:rsid w:val="00F31748"/>
    <w:rsid w:val="00F32CB2"/>
    <w:rsid w:val="00F35695"/>
    <w:rsid w:val="00F43C97"/>
    <w:rsid w:val="00F60652"/>
    <w:rsid w:val="00F60CF5"/>
    <w:rsid w:val="00F64E4B"/>
    <w:rsid w:val="00F65BEF"/>
    <w:rsid w:val="00F70F0B"/>
    <w:rsid w:val="00F76B9A"/>
    <w:rsid w:val="00F81A7A"/>
    <w:rsid w:val="00F90E76"/>
    <w:rsid w:val="00F96C4D"/>
    <w:rsid w:val="00FA686E"/>
    <w:rsid w:val="00FB1BA5"/>
    <w:rsid w:val="00FB2415"/>
    <w:rsid w:val="00FB7ECB"/>
    <w:rsid w:val="00FC1C53"/>
    <w:rsid w:val="00FC5D3F"/>
    <w:rsid w:val="00FD18D4"/>
    <w:rsid w:val="00FD6DBE"/>
    <w:rsid w:val="00FD70E7"/>
    <w:rsid w:val="00FD7331"/>
    <w:rsid w:val="00FE4DB8"/>
    <w:rsid w:val="00FF046C"/>
    <w:rsid w:val="00FF254E"/>
    <w:rsid w:val="00FF3028"/>
    <w:rsid w:val="00FF5F48"/>
    <w:rsid w:val="00FF744D"/>
    <w:rsid w:val="00FF76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342"/>
    <w:pPr>
      <w:ind w:left="720"/>
      <w:contextualSpacing/>
    </w:pPr>
  </w:style>
  <w:style w:type="table" w:styleId="TableGrid">
    <w:name w:val="Table Grid"/>
    <w:basedOn w:val="TableNormal"/>
    <w:uiPriority w:val="59"/>
    <w:rsid w:val="0072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6C"/>
  </w:style>
  <w:style w:type="paragraph" w:styleId="Footer">
    <w:name w:val="footer"/>
    <w:basedOn w:val="Normal"/>
    <w:link w:val="FooterChar"/>
    <w:uiPriority w:val="99"/>
    <w:unhideWhenUsed/>
    <w:rsid w:val="0058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C6C"/>
  </w:style>
  <w:style w:type="character" w:styleId="Hyperlink">
    <w:name w:val="Hyperlink"/>
    <w:basedOn w:val="DefaultParagraphFont"/>
    <w:uiPriority w:val="99"/>
    <w:unhideWhenUsed/>
    <w:rsid w:val="000E224D"/>
    <w:rPr>
      <w:color w:val="0000FF" w:themeColor="hyperlink"/>
      <w:u w:val="single"/>
    </w:rPr>
  </w:style>
  <w:style w:type="paragraph" w:styleId="BalloonText">
    <w:name w:val="Balloon Text"/>
    <w:basedOn w:val="Normal"/>
    <w:link w:val="BalloonTextChar"/>
    <w:uiPriority w:val="99"/>
    <w:semiHidden/>
    <w:unhideWhenUsed/>
    <w:rsid w:val="0036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45"/>
    <w:rPr>
      <w:rFonts w:ascii="Tahoma" w:hAnsi="Tahoma" w:cs="Tahoma"/>
      <w:sz w:val="16"/>
      <w:szCs w:val="16"/>
    </w:rPr>
  </w:style>
  <w:style w:type="character" w:styleId="CommentReference">
    <w:name w:val="annotation reference"/>
    <w:basedOn w:val="DefaultParagraphFont"/>
    <w:uiPriority w:val="99"/>
    <w:semiHidden/>
    <w:unhideWhenUsed/>
    <w:rsid w:val="00FE4DB8"/>
    <w:rPr>
      <w:sz w:val="16"/>
      <w:szCs w:val="16"/>
    </w:rPr>
  </w:style>
  <w:style w:type="paragraph" w:styleId="CommentText">
    <w:name w:val="annotation text"/>
    <w:basedOn w:val="Normal"/>
    <w:link w:val="CommentTextChar"/>
    <w:uiPriority w:val="99"/>
    <w:semiHidden/>
    <w:unhideWhenUsed/>
    <w:rsid w:val="00FE4DB8"/>
    <w:pPr>
      <w:spacing w:line="240" w:lineRule="auto"/>
    </w:pPr>
    <w:rPr>
      <w:sz w:val="20"/>
      <w:szCs w:val="20"/>
    </w:rPr>
  </w:style>
  <w:style w:type="character" w:customStyle="1" w:styleId="CommentTextChar">
    <w:name w:val="Comment Text Char"/>
    <w:basedOn w:val="DefaultParagraphFont"/>
    <w:link w:val="CommentText"/>
    <w:uiPriority w:val="99"/>
    <w:semiHidden/>
    <w:rsid w:val="00FE4DB8"/>
    <w:rPr>
      <w:sz w:val="20"/>
      <w:szCs w:val="20"/>
    </w:rPr>
  </w:style>
  <w:style w:type="paragraph" w:styleId="CommentSubject">
    <w:name w:val="annotation subject"/>
    <w:basedOn w:val="CommentText"/>
    <w:next w:val="CommentText"/>
    <w:link w:val="CommentSubjectChar"/>
    <w:uiPriority w:val="99"/>
    <w:semiHidden/>
    <w:unhideWhenUsed/>
    <w:rsid w:val="00FE4DB8"/>
    <w:rPr>
      <w:b/>
      <w:bCs/>
    </w:rPr>
  </w:style>
  <w:style w:type="character" w:customStyle="1" w:styleId="CommentSubjectChar">
    <w:name w:val="Comment Subject Char"/>
    <w:basedOn w:val="CommentTextChar"/>
    <w:link w:val="CommentSubject"/>
    <w:uiPriority w:val="99"/>
    <w:semiHidden/>
    <w:rsid w:val="00FE4DB8"/>
    <w:rPr>
      <w:b/>
      <w:bCs/>
      <w:sz w:val="20"/>
      <w:szCs w:val="20"/>
    </w:rPr>
  </w:style>
  <w:style w:type="paragraph" w:styleId="FootnoteText">
    <w:name w:val="footnote text"/>
    <w:basedOn w:val="Normal"/>
    <w:link w:val="FootnoteTextChar"/>
    <w:uiPriority w:val="99"/>
    <w:semiHidden/>
    <w:unhideWhenUsed/>
    <w:rsid w:val="00957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C1D"/>
    <w:rPr>
      <w:sz w:val="20"/>
      <w:szCs w:val="20"/>
    </w:rPr>
  </w:style>
  <w:style w:type="character" w:styleId="FootnoteReference">
    <w:name w:val="footnote reference"/>
    <w:basedOn w:val="DefaultParagraphFont"/>
    <w:uiPriority w:val="99"/>
    <w:semiHidden/>
    <w:unhideWhenUsed/>
    <w:rsid w:val="00957C1D"/>
    <w:rPr>
      <w:vertAlign w:val="superscript"/>
    </w:rPr>
  </w:style>
  <w:style w:type="paragraph" w:customStyle="1" w:styleId="Default">
    <w:name w:val="Default"/>
    <w:rsid w:val="00B87E9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F4C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C97"/>
    <w:rPr>
      <w:sz w:val="20"/>
      <w:szCs w:val="20"/>
    </w:rPr>
  </w:style>
  <w:style w:type="character" w:styleId="EndnoteReference">
    <w:name w:val="endnote reference"/>
    <w:basedOn w:val="DefaultParagraphFont"/>
    <w:uiPriority w:val="99"/>
    <w:semiHidden/>
    <w:unhideWhenUsed/>
    <w:rsid w:val="00EF4C97"/>
    <w:rPr>
      <w:vertAlign w:val="superscript"/>
    </w:rPr>
  </w:style>
  <w:style w:type="character" w:styleId="FollowedHyperlink">
    <w:name w:val="FollowedHyperlink"/>
    <w:basedOn w:val="DefaultParagraphFont"/>
    <w:uiPriority w:val="99"/>
    <w:semiHidden/>
    <w:unhideWhenUsed/>
    <w:rsid w:val="004825C1"/>
    <w:rPr>
      <w:color w:val="800080" w:themeColor="followedHyperlink"/>
      <w:u w:val="single"/>
    </w:rPr>
  </w:style>
  <w:style w:type="table" w:customStyle="1" w:styleId="TableGrid1">
    <w:name w:val="Table Grid1"/>
    <w:basedOn w:val="TableNormal"/>
    <w:next w:val="TableGrid"/>
    <w:uiPriority w:val="59"/>
    <w:rsid w:val="0027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342"/>
    <w:pPr>
      <w:ind w:left="720"/>
      <w:contextualSpacing/>
    </w:pPr>
  </w:style>
  <w:style w:type="table" w:styleId="TableGrid">
    <w:name w:val="Table Grid"/>
    <w:basedOn w:val="TableNormal"/>
    <w:uiPriority w:val="59"/>
    <w:rsid w:val="0072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6C"/>
  </w:style>
  <w:style w:type="paragraph" w:styleId="Footer">
    <w:name w:val="footer"/>
    <w:basedOn w:val="Normal"/>
    <w:link w:val="FooterChar"/>
    <w:uiPriority w:val="99"/>
    <w:unhideWhenUsed/>
    <w:rsid w:val="0058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C6C"/>
  </w:style>
  <w:style w:type="character" w:styleId="Hyperlink">
    <w:name w:val="Hyperlink"/>
    <w:basedOn w:val="DefaultParagraphFont"/>
    <w:uiPriority w:val="99"/>
    <w:unhideWhenUsed/>
    <w:rsid w:val="000E224D"/>
    <w:rPr>
      <w:color w:val="0000FF" w:themeColor="hyperlink"/>
      <w:u w:val="single"/>
    </w:rPr>
  </w:style>
  <w:style w:type="paragraph" w:styleId="BalloonText">
    <w:name w:val="Balloon Text"/>
    <w:basedOn w:val="Normal"/>
    <w:link w:val="BalloonTextChar"/>
    <w:uiPriority w:val="99"/>
    <w:semiHidden/>
    <w:unhideWhenUsed/>
    <w:rsid w:val="0036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45"/>
    <w:rPr>
      <w:rFonts w:ascii="Tahoma" w:hAnsi="Tahoma" w:cs="Tahoma"/>
      <w:sz w:val="16"/>
      <w:szCs w:val="16"/>
    </w:rPr>
  </w:style>
  <w:style w:type="character" w:styleId="CommentReference">
    <w:name w:val="annotation reference"/>
    <w:basedOn w:val="DefaultParagraphFont"/>
    <w:uiPriority w:val="99"/>
    <w:semiHidden/>
    <w:unhideWhenUsed/>
    <w:rsid w:val="00FE4DB8"/>
    <w:rPr>
      <w:sz w:val="16"/>
      <w:szCs w:val="16"/>
    </w:rPr>
  </w:style>
  <w:style w:type="paragraph" w:styleId="CommentText">
    <w:name w:val="annotation text"/>
    <w:basedOn w:val="Normal"/>
    <w:link w:val="CommentTextChar"/>
    <w:uiPriority w:val="99"/>
    <w:semiHidden/>
    <w:unhideWhenUsed/>
    <w:rsid w:val="00FE4DB8"/>
    <w:pPr>
      <w:spacing w:line="240" w:lineRule="auto"/>
    </w:pPr>
    <w:rPr>
      <w:sz w:val="20"/>
      <w:szCs w:val="20"/>
    </w:rPr>
  </w:style>
  <w:style w:type="character" w:customStyle="1" w:styleId="CommentTextChar">
    <w:name w:val="Comment Text Char"/>
    <w:basedOn w:val="DefaultParagraphFont"/>
    <w:link w:val="CommentText"/>
    <w:uiPriority w:val="99"/>
    <w:semiHidden/>
    <w:rsid w:val="00FE4DB8"/>
    <w:rPr>
      <w:sz w:val="20"/>
      <w:szCs w:val="20"/>
    </w:rPr>
  </w:style>
  <w:style w:type="paragraph" w:styleId="CommentSubject">
    <w:name w:val="annotation subject"/>
    <w:basedOn w:val="CommentText"/>
    <w:next w:val="CommentText"/>
    <w:link w:val="CommentSubjectChar"/>
    <w:uiPriority w:val="99"/>
    <w:semiHidden/>
    <w:unhideWhenUsed/>
    <w:rsid w:val="00FE4DB8"/>
    <w:rPr>
      <w:b/>
      <w:bCs/>
    </w:rPr>
  </w:style>
  <w:style w:type="character" w:customStyle="1" w:styleId="CommentSubjectChar">
    <w:name w:val="Comment Subject Char"/>
    <w:basedOn w:val="CommentTextChar"/>
    <w:link w:val="CommentSubject"/>
    <w:uiPriority w:val="99"/>
    <w:semiHidden/>
    <w:rsid w:val="00FE4DB8"/>
    <w:rPr>
      <w:b/>
      <w:bCs/>
      <w:sz w:val="20"/>
      <w:szCs w:val="20"/>
    </w:rPr>
  </w:style>
  <w:style w:type="paragraph" w:styleId="FootnoteText">
    <w:name w:val="footnote text"/>
    <w:basedOn w:val="Normal"/>
    <w:link w:val="FootnoteTextChar"/>
    <w:uiPriority w:val="99"/>
    <w:semiHidden/>
    <w:unhideWhenUsed/>
    <w:rsid w:val="00957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C1D"/>
    <w:rPr>
      <w:sz w:val="20"/>
      <w:szCs w:val="20"/>
    </w:rPr>
  </w:style>
  <w:style w:type="character" w:styleId="FootnoteReference">
    <w:name w:val="footnote reference"/>
    <w:basedOn w:val="DefaultParagraphFont"/>
    <w:uiPriority w:val="99"/>
    <w:semiHidden/>
    <w:unhideWhenUsed/>
    <w:rsid w:val="00957C1D"/>
    <w:rPr>
      <w:vertAlign w:val="superscript"/>
    </w:rPr>
  </w:style>
  <w:style w:type="paragraph" w:customStyle="1" w:styleId="Default">
    <w:name w:val="Default"/>
    <w:rsid w:val="00B87E9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F4C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C97"/>
    <w:rPr>
      <w:sz w:val="20"/>
      <w:szCs w:val="20"/>
    </w:rPr>
  </w:style>
  <w:style w:type="character" w:styleId="EndnoteReference">
    <w:name w:val="endnote reference"/>
    <w:basedOn w:val="DefaultParagraphFont"/>
    <w:uiPriority w:val="99"/>
    <w:semiHidden/>
    <w:unhideWhenUsed/>
    <w:rsid w:val="00EF4C97"/>
    <w:rPr>
      <w:vertAlign w:val="superscript"/>
    </w:rPr>
  </w:style>
  <w:style w:type="character" w:styleId="FollowedHyperlink">
    <w:name w:val="FollowedHyperlink"/>
    <w:basedOn w:val="DefaultParagraphFont"/>
    <w:uiPriority w:val="99"/>
    <w:semiHidden/>
    <w:unhideWhenUsed/>
    <w:rsid w:val="004825C1"/>
    <w:rPr>
      <w:color w:val="800080" w:themeColor="followedHyperlink"/>
      <w:u w:val="single"/>
    </w:rPr>
  </w:style>
  <w:style w:type="table" w:customStyle="1" w:styleId="TableGrid1">
    <w:name w:val="Table Grid1"/>
    <w:basedOn w:val="TableNormal"/>
    <w:next w:val="TableGrid"/>
    <w:uiPriority w:val="59"/>
    <w:rsid w:val="0027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020">
      <w:bodyDiv w:val="1"/>
      <w:marLeft w:val="0"/>
      <w:marRight w:val="0"/>
      <w:marTop w:val="0"/>
      <w:marBottom w:val="0"/>
      <w:divBdr>
        <w:top w:val="none" w:sz="0" w:space="0" w:color="auto"/>
        <w:left w:val="none" w:sz="0" w:space="0" w:color="auto"/>
        <w:bottom w:val="none" w:sz="0" w:space="0" w:color="auto"/>
        <w:right w:val="none" w:sz="0" w:space="0" w:color="auto"/>
      </w:divBdr>
    </w:div>
    <w:div w:id="380638315">
      <w:bodyDiv w:val="1"/>
      <w:marLeft w:val="0"/>
      <w:marRight w:val="0"/>
      <w:marTop w:val="0"/>
      <w:marBottom w:val="0"/>
      <w:divBdr>
        <w:top w:val="none" w:sz="0" w:space="0" w:color="auto"/>
        <w:left w:val="none" w:sz="0" w:space="0" w:color="auto"/>
        <w:bottom w:val="none" w:sz="0" w:space="0" w:color="auto"/>
        <w:right w:val="none" w:sz="0" w:space="0" w:color="auto"/>
      </w:divBdr>
    </w:div>
    <w:div w:id="396628426">
      <w:bodyDiv w:val="1"/>
      <w:marLeft w:val="0"/>
      <w:marRight w:val="0"/>
      <w:marTop w:val="0"/>
      <w:marBottom w:val="0"/>
      <w:divBdr>
        <w:top w:val="none" w:sz="0" w:space="0" w:color="auto"/>
        <w:left w:val="none" w:sz="0" w:space="0" w:color="auto"/>
        <w:bottom w:val="none" w:sz="0" w:space="0" w:color="auto"/>
        <w:right w:val="none" w:sz="0" w:space="0" w:color="auto"/>
      </w:divBdr>
    </w:div>
    <w:div w:id="420833819">
      <w:bodyDiv w:val="1"/>
      <w:marLeft w:val="0"/>
      <w:marRight w:val="0"/>
      <w:marTop w:val="0"/>
      <w:marBottom w:val="0"/>
      <w:divBdr>
        <w:top w:val="none" w:sz="0" w:space="0" w:color="auto"/>
        <w:left w:val="none" w:sz="0" w:space="0" w:color="auto"/>
        <w:bottom w:val="none" w:sz="0" w:space="0" w:color="auto"/>
        <w:right w:val="none" w:sz="0" w:space="0" w:color="auto"/>
      </w:divBdr>
      <w:divsChild>
        <w:div w:id="487483744">
          <w:marLeft w:val="547"/>
          <w:marRight w:val="0"/>
          <w:marTop w:val="115"/>
          <w:marBottom w:val="0"/>
          <w:divBdr>
            <w:top w:val="none" w:sz="0" w:space="0" w:color="auto"/>
            <w:left w:val="none" w:sz="0" w:space="0" w:color="auto"/>
            <w:bottom w:val="none" w:sz="0" w:space="0" w:color="auto"/>
            <w:right w:val="none" w:sz="0" w:space="0" w:color="auto"/>
          </w:divBdr>
        </w:div>
        <w:div w:id="952859360">
          <w:marLeft w:val="547"/>
          <w:marRight w:val="0"/>
          <w:marTop w:val="115"/>
          <w:marBottom w:val="0"/>
          <w:divBdr>
            <w:top w:val="none" w:sz="0" w:space="0" w:color="auto"/>
            <w:left w:val="none" w:sz="0" w:space="0" w:color="auto"/>
            <w:bottom w:val="none" w:sz="0" w:space="0" w:color="auto"/>
            <w:right w:val="none" w:sz="0" w:space="0" w:color="auto"/>
          </w:divBdr>
        </w:div>
        <w:div w:id="522399110">
          <w:marLeft w:val="547"/>
          <w:marRight w:val="0"/>
          <w:marTop w:val="115"/>
          <w:marBottom w:val="0"/>
          <w:divBdr>
            <w:top w:val="none" w:sz="0" w:space="0" w:color="auto"/>
            <w:left w:val="none" w:sz="0" w:space="0" w:color="auto"/>
            <w:bottom w:val="none" w:sz="0" w:space="0" w:color="auto"/>
            <w:right w:val="none" w:sz="0" w:space="0" w:color="auto"/>
          </w:divBdr>
        </w:div>
        <w:div w:id="2132504886">
          <w:marLeft w:val="547"/>
          <w:marRight w:val="0"/>
          <w:marTop w:val="115"/>
          <w:marBottom w:val="0"/>
          <w:divBdr>
            <w:top w:val="none" w:sz="0" w:space="0" w:color="auto"/>
            <w:left w:val="none" w:sz="0" w:space="0" w:color="auto"/>
            <w:bottom w:val="none" w:sz="0" w:space="0" w:color="auto"/>
            <w:right w:val="none" w:sz="0" w:space="0" w:color="auto"/>
          </w:divBdr>
        </w:div>
        <w:div w:id="1595741231">
          <w:marLeft w:val="547"/>
          <w:marRight w:val="0"/>
          <w:marTop w:val="115"/>
          <w:marBottom w:val="0"/>
          <w:divBdr>
            <w:top w:val="none" w:sz="0" w:space="0" w:color="auto"/>
            <w:left w:val="none" w:sz="0" w:space="0" w:color="auto"/>
            <w:bottom w:val="none" w:sz="0" w:space="0" w:color="auto"/>
            <w:right w:val="none" w:sz="0" w:space="0" w:color="auto"/>
          </w:divBdr>
        </w:div>
        <w:div w:id="1631937694">
          <w:marLeft w:val="547"/>
          <w:marRight w:val="0"/>
          <w:marTop w:val="115"/>
          <w:marBottom w:val="0"/>
          <w:divBdr>
            <w:top w:val="none" w:sz="0" w:space="0" w:color="auto"/>
            <w:left w:val="none" w:sz="0" w:space="0" w:color="auto"/>
            <w:bottom w:val="none" w:sz="0" w:space="0" w:color="auto"/>
            <w:right w:val="none" w:sz="0" w:space="0" w:color="auto"/>
          </w:divBdr>
        </w:div>
      </w:divsChild>
    </w:div>
    <w:div w:id="738557501">
      <w:bodyDiv w:val="1"/>
      <w:marLeft w:val="0"/>
      <w:marRight w:val="0"/>
      <w:marTop w:val="0"/>
      <w:marBottom w:val="0"/>
      <w:divBdr>
        <w:top w:val="none" w:sz="0" w:space="0" w:color="auto"/>
        <w:left w:val="none" w:sz="0" w:space="0" w:color="auto"/>
        <w:bottom w:val="none" w:sz="0" w:space="0" w:color="auto"/>
        <w:right w:val="none" w:sz="0" w:space="0" w:color="auto"/>
      </w:divBdr>
    </w:div>
    <w:div w:id="816647356">
      <w:bodyDiv w:val="1"/>
      <w:marLeft w:val="0"/>
      <w:marRight w:val="0"/>
      <w:marTop w:val="0"/>
      <w:marBottom w:val="0"/>
      <w:divBdr>
        <w:top w:val="none" w:sz="0" w:space="0" w:color="auto"/>
        <w:left w:val="none" w:sz="0" w:space="0" w:color="auto"/>
        <w:bottom w:val="none" w:sz="0" w:space="0" w:color="auto"/>
        <w:right w:val="none" w:sz="0" w:space="0" w:color="auto"/>
      </w:divBdr>
      <w:divsChild>
        <w:div w:id="1589077196">
          <w:marLeft w:val="1325"/>
          <w:marRight w:val="0"/>
          <w:marTop w:val="480"/>
          <w:marBottom w:val="0"/>
          <w:divBdr>
            <w:top w:val="none" w:sz="0" w:space="0" w:color="auto"/>
            <w:left w:val="none" w:sz="0" w:space="0" w:color="auto"/>
            <w:bottom w:val="none" w:sz="0" w:space="0" w:color="auto"/>
            <w:right w:val="none" w:sz="0" w:space="0" w:color="auto"/>
          </w:divBdr>
        </w:div>
        <w:div w:id="220795766">
          <w:marLeft w:val="1325"/>
          <w:marRight w:val="0"/>
          <w:marTop w:val="480"/>
          <w:marBottom w:val="0"/>
          <w:divBdr>
            <w:top w:val="none" w:sz="0" w:space="0" w:color="auto"/>
            <w:left w:val="none" w:sz="0" w:space="0" w:color="auto"/>
            <w:bottom w:val="none" w:sz="0" w:space="0" w:color="auto"/>
            <w:right w:val="none" w:sz="0" w:space="0" w:color="auto"/>
          </w:divBdr>
        </w:div>
        <w:div w:id="683822943">
          <w:marLeft w:val="1325"/>
          <w:marRight w:val="0"/>
          <w:marTop w:val="480"/>
          <w:marBottom w:val="0"/>
          <w:divBdr>
            <w:top w:val="none" w:sz="0" w:space="0" w:color="auto"/>
            <w:left w:val="none" w:sz="0" w:space="0" w:color="auto"/>
            <w:bottom w:val="none" w:sz="0" w:space="0" w:color="auto"/>
            <w:right w:val="none" w:sz="0" w:space="0" w:color="auto"/>
          </w:divBdr>
        </w:div>
        <w:div w:id="453452833">
          <w:marLeft w:val="1325"/>
          <w:marRight w:val="0"/>
          <w:marTop w:val="480"/>
          <w:marBottom w:val="0"/>
          <w:divBdr>
            <w:top w:val="none" w:sz="0" w:space="0" w:color="auto"/>
            <w:left w:val="none" w:sz="0" w:space="0" w:color="auto"/>
            <w:bottom w:val="none" w:sz="0" w:space="0" w:color="auto"/>
            <w:right w:val="none" w:sz="0" w:space="0" w:color="auto"/>
          </w:divBdr>
        </w:div>
        <w:div w:id="309095177">
          <w:marLeft w:val="1325"/>
          <w:marRight w:val="0"/>
          <w:marTop w:val="480"/>
          <w:marBottom w:val="0"/>
          <w:divBdr>
            <w:top w:val="none" w:sz="0" w:space="0" w:color="auto"/>
            <w:left w:val="none" w:sz="0" w:space="0" w:color="auto"/>
            <w:bottom w:val="none" w:sz="0" w:space="0" w:color="auto"/>
            <w:right w:val="none" w:sz="0" w:space="0" w:color="auto"/>
          </w:divBdr>
        </w:div>
        <w:div w:id="1487164356">
          <w:marLeft w:val="1325"/>
          <w:marRight w:val="0"/>
          <w:marTop w:val="480"/>
          <w:marBottom w:val="0"/>
          <w:divBdr>
            <w:top w:val="none" w:sz="0" w:space="0" w:color="auto"/>
            <w:left w:val="none" w:sz="0" w:space="0" w:color="auto"/>
            <w:bottom w:val="none" w:sz="0" w:space="0" w:color="auto"/>
            <w:right w:val="none" w:sz="0" w:space="0" w:color="auto"/>
          </w:divBdr>
        </w:div>
      </w:divsChild>
    </w:div>
    <w:div w:id="1079640876">
      <w:bodyDiv w:val="1"/>
      <w:marLeft w:val="0"/>
      <w:marRight w:val="0"/>
      <w:marTop w:val="0"/>
      <w:marBottom w:val="0"/>
      <w:divBdr>
        <w:top w:val="none" w:sz="0" w:space="0" w:color="auto"/>
        <w:left w:val="none" w:sz="0" w:space="0" w:color="auto"/>
        <w:bottom w:val="none" w:sz="0" w:space="0" w:color="auto"/>
        <w:right w:val="none" w:sz="0" w:space="0" w:color="auto"/>
      </w:divBdr>
    </w:div>
    <w:div w:id="1303996134">
      <w:bodyDiv w:val="1"/>
      <w:marLeft w:val="0"/>
      <w:marRight w:val="0"/>
      <w:marTop w:val="0"/>
      <w:marBottom w:val="0"/>
      <w:divBdr>
        <w:top w:val="none" w:sz="0" w:space="0" w:color="auto"/>
        <w:left w:val="none" w:sz="0" w:space="0" w:color="auto"/>
        <w:bottom w:val="none" w:sz="0" w:space="0" w:color="auto"/>
        <w:right w:val="none" w:sz="0" w:space="0" w:color="auto"/>
      </w:divBdr>
    </w:div>
    <w:div w:id="20016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internationalhealthpartnership.net" TargetMode="External"/><Relationship Id="rId4" Type="http://schemas.microsoft.com/office/2007/relationships/stylesWithEffects" Target="stylesWithEffects.xml"/><Relationship Id="rId9" Type="http://schemas.openxmlformats.org/officeDocument/2006/relationships/hyperlink" Target="http://ihpresults.net/download-repor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frica-platform.org/sites/default/files/resources/indicators_targets_and_process_for_global_monitoring-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812AE1C-51C0-41FF-9977-99EA9312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3996</Words>
  <Characters>22781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DOLEA, Carmen Mihaela</dc:creator>
  <cp:lastModifiedBy>DOLEA, Carmen Mihaela</cp:lastModifiedBy>
  <cp:revision>2</cp:revision>
  <cp:lastPrinted>2012-11-05T08:45:00Z</cp:lastPrinted>
  <dcterms:created xsi:type="dcterms:W3CDTF">2012-11-05T10:08:00Z</dcterms:created>
  <dcterms:modified xsi:type="dcterms:W3CDTF">2012-11-05T10:08:00Z</dcterms:modified>
</cp:coreProperties>
</file>