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7CA" w:rsidRDefault="00697A12">
      <w:pPr>
        <w:rPr>
          <w:b/>
        </w:rPr>
      </w:pPr>
      <w:r>
        <w:rPr>
          <w:b/>
        </w:rPr>
        <w:t>New ways of working in</w:t>
      </w:r>
      <w:r w:rsidR="00AA5FC1" w:rsidRPr="00AA5FC1">
        <w:rPr>
          <w:b/>
        </w:rPr>
        <w:t xml:space="preserve"> Nepal </w:t>
      </w:r>
    </w:p>
    <w:p w:rsidR="0003177B" w:rsidRDefault="0003177B"/>
    <w:p w:rsidR="008F26C0" w:rsidRPr="0003177B" w:rsidRDefault="0003177B">
      <w:r w:rsidRPr="0003177B">
        <w:t>May 2012</w:t>
      </w:r>
    </w:p>
    <w:p w:rsidR="0003177B" w:rsidRDefault="0003177B" w:rsidP="00697A12"/>
    <w:p w:rsidR="00697A12" w:rsidRDefault="00697A12" w:rsidP="00697A12">
      <w:r>
        <w:t xml:space="preserve">The Nepalese government and a range of development partners are working together in new ways to align funding and technical assistance behind a single national health strategy. However, the process is not always straightforward. According to </w:t>
      </w:r>
      <w:proofErr w:type="spellStart"/>
      <w:r>
        <w:t>Albertus</w:t>
      </w:r>
      <w:proofErr w:type="spellEnd"/>
      <w:r>
        <w:t xml:space="preserve"> </w:t>
      </w:r>
      <w:r w:rsidR="00D61521">
        <w:t xml:space="preserve">(Bert) </w:t>
      </w:r>
      <w:proofErr w:type="spellStart"/>
      <w:r>
        <w:t>Voetberg</w:t>
      </w:r>
      <w:proofErr w:type="spellEnd"/>
      <w:r>
        <w:t xml:space="preserve">, Lead Health Specialist at the World Bank in Nepal, being accountable for technical assistance is more complicated than it may seem on paper. </w:t>
      </w:r>
    </w:p>
    <w:p w:rsidR="00697A12" w:rsidRDefault="00697A12" w:rsidP="00697A12"/>
    <w:p w:rsidR="00697A12" w:rsidRDefault="00697A12" w:rsidP="00697A12">
      <w:pPr>
        <w:rPr>
          <w:rFonts w:cs="Arial"/>
          <w:spacing w:val="-6"/>
        </w:rPr>
      </w:pPr>
      <w:r w:rsidRPr="00697A12">
        <w:rPr>
          <w:rFonts w:cs="Arial"/>
          <w:bCs/>
          <w:spacing w:val="-6"/>
        </w:rPr>
        <w:t>Nepal first</w:t>
      </w:r>
      <w:r>
        <w:rPr>
          <w:rFonts w:cs="Arial"/>
          <w:b/>
          <w:bCs/>
          <w:spacing w:val="-6"/>
        </w:rPr>
        <w:t xml:space="preserve"> </w:t>
      </w:r>
      <w:r w:rsidRPr="00584823">
        <w:rPr>
          <w:rFonts w:cs="Arial"/>
          <w:spacing w:val="-6"/>
        </w:rPr>
        <w:t xml:space="preserve">joined </w:t>
      </w:r>
      <w:r>
        <w:rPr>
          <w:rFonts w:cs="Arial"/>
          <w:spacing w:val="-6"/>
        </w:rPr>
        <w:t>IHP+ in 2007 and in 2009, t</w:t>
      </w:r>
      <w:r w:rsidRPr="00584823">
        <w:rPr>
          <w:rFonts w:cs="Arial"/>
          <w:spacing w:val="-6"/>
        </w:rPr>
        <w:t xml:space="preserve">he Ministry of Health and </w:t>
      </w:r>
      <w:r>
        <w:rPr>
          <w:rFonts w:cs="Arial"/>
          <w:spacing w:val="-6"/>
        </w:rPr>
        <w:t>seven</w:t>
      </w:r>
      <w:r w:rsidRPr="00584823">
        <w:rPr>
          <w:rFonts w:cs="Arial"/>
          <w:spacing w:val="-6"/>
        </w:rPr>
        <w:t xml:space="preserve"> development partners signed a Country Compact</w:t>
      </w:r>
      <w:r>
        <w:rPr>
          <w:rFonts w:cs="Arial"/>
          <w:spacing w:val="-6"/>
        </w:rPr>
        <w:t>. A range of agencies have been working together using the tools of IHP+. For example, they used the JANS tool to review Nepal’s National Health Plan</w:t>
      </w:r>
      <w:r w:rsidRPr="00584823">
        <w:rPr>
          <w:rFonts w:cs="Arial"/>
          <w:spacing w:val="-6"/>
        </w:rPr>
        <w:t xml:space="preserve"> in February 2010. </w:t>
      </w:r>
      <w:r>
        <w:rPr>
          <w:rFonts w:cs="Arial"/>
          <w:spacing w:val="-6"/>
        </w:rPr>
        <w:t>Following this, a Joint F</w:t>
      </w:r>
      <w:r w:rsidRPr="00584823">
        <w:rPr>
          <w:rFonts w:cs="Arial"/>
          <w:spacing w:val="-6"/>
        </w:rPr>
        <w:t xml:space="preserve">inancing </w:t>
      </w:r>
      <w:r>
        <w:rPr>
          <w:rFonts w:cs="Arial"/>
          <w:spacing w:val="-6"/>
        </w:rPr>
        <w:t>A</w:t>
      </w:r>
      <w:r w:rsidRPr="00584823">
        <w:rPr>
          <w:rFonts w:cs="Arial"/>
          <w:spacing w:val="-6"/>
        </w:rPr>
        <w:t xml:space="preserve">rrangement was signed by GAVI, USAID, World Bank, </w:t>
      </w:r>
      <w:proofErr w:type="spellStart"/>
      <w:r w:rsidRPr="00584823">
        <w:rPr>
          <w:rFonts w:cs="Arial"/>
          <w:spacing w:val="-6"/>
        </w:rPr>
        <w:t>Aus</w:t>
      </w:r>
      <w:r w:rsidR="00AD69D1">
        <w:rPr>
          <w:rFonts w:cs="Arial"/>
          <w:spacing w:val="-6"/>
        </w:rPr>
        <w:t>Ai</w:t>
      </w:r>
      <w:r w:rsidRPr="00584823">
        <w:rPr>
          <w:rFonts w:cs="Arial"/>
          <w:spacing w:val="-6"/>
        </w:rPr>
        <w:t>d</w:t>
      </w:r>
      <w:proofErr w:type="spellEnd"/>
      <w:r w:rsidRPr="00584823">
        <w:rPr>
          <w:rFonts w:cs="Arial"/>
          <w:spacing w:val="-6"/>
        </w:rPr>
        <w:t xml:space="preserve">, DFID, </w:t>
      </w:r>
      <w:proofErr w:type="spellStart"/>
      <w:r w:rsidRPr="00584823">
        <w:rPr>
          <w:rFonts w:cs="Arial"/>
          <w:spacing w:val="-6"/>
        </w:rPr>
        <w:t>KfW</w:t>
      </w:r>
      <w:proofErr w:type="spellEnd"/>
      <w:r w:rsidRPr="00584823">
        <w:rPr>
          <w:rFonts w:cs="Arial"/>
          <w:spacing w:val="-6"/>
        </w:rPr>
        <w:t xml:space="preserve">, UNICEF, WHO and UNFPA in 2010. </w:t>
      </w:r>
      <w:r>
        <w:rPr>
          <w:rFonts w:cs="Arial"/>
          <w:spacing w:val="-6"/>
        </w:rPr>
        <w:t xml:space="preserve"> </w:t>
      </w:r>
    </w:p>
    <w:p w:rsidR="00697A12" w:rsidRDefault="00697A12" w:rsidP="00697A12">
      <w:pPr>
        <w:rPr>
          <w:rFonts w:cs="Arial"/>
          <w:spacing w:val="-6"/>
        </w:rPr>
      </w:pPr>
    </w:p>
    <w:p w:rsidR="008F26C0" w:rsidRDefault="00697A12">
      <w:r>
        <w:t>At first</w:t>
      </w:r>
      <w:r w:rsidR="003778D4">
        <w:t>,</w:t>
      </w:r>
      <w:r>
        <w:t xml:space="preserve"> the Joint Financing Arrang</w:t>
      </w:r>
      <w:r w:rsidR="005F2154">
        <w:t>e</w:t>
      </w:r>
      <w:r>
        <w:t xml:space="preserve">ment (JFA) was </w:t>
      </w:r>
      <w:r w:rsidR="008F26C0" w:rsidRPr="008F26C0">
        <w:t>exclusively for those partners who could pool funds</w:t>
      </w:r>
      <w:r>
        <w:t xml:space="preserve"> with t</w:t>
      </w:r>
      <w:r w:rsidR="008F26C0">
        <w:t xml:space="preserve">he government. </w:t>
      </w:r>
      <w:r>
        <w:t>There was some a</w:t>
      </w:r>
      <w:r w:rsidR="008F26C0">
        <w:t xml:space="preserve">lignment with the Nepal </w:t>
      </w:r>
      <w:r>
        <w:t>H</w:t>
      </w:r>
      <w:r w:rsidR="008F26C0">
        <w:t xml:space="preserve">ealth </w:t>
      </w:r>
      <w:r>
        <w:t xml:space="preserve">Plan </w:t>
      </w:r>
      <w:r w:rsidR="008F26C0">
        <w:t xml:space="preserve">but </w:t>
      </w:r>
      <w:r w:rsidR="008E3502">
        <w:t>there remained</w:t>
      </w:r>
      <w:r w:rsidR="003778D4">
        <w:t xml:space="preserve"> agencies who were not involved. The JFA was reframed so that it became open to non-pooled funders, because aligning behind the government’s health strategy was more important than </w:t>
      </w:r>
      <w:r w:rsidR="008F26C0">
        <w:t>the pooling mechanism.</w:t>
      </w:r>
      <w:r w:rsidR="003778D4">
        <w:t xml:space="preserve"> </w:t>
      </w:r>
      <w:r w:rsidR="00D61521">
        <w:t>Bert</w:t>
      </w:r>
      <w:r w:rsidR="003778D4">
        <w:t xml:space="preserve"> </w:t>
      </w:r>
      <w:proofErr w:type="gramStart"/>
      <w:r w:rsidR="003778D4">
        <w:t>recalls</w:t>
      </w:r>
      <w:proofErr w:type="gramEnd"/>
      <w:r w:rsidR="003778D4">
        <w:t>, “I</w:t>
      </w:r>
      <w:r w:rsidR="008F26C0">
        <w:t xml:space="preserve">t was a good excuse to rally everyone behind the </w:t>
      </w:r>
      <w:r w:rsidR="003778D4">
        <w:t>G</w:t>
      </w:r>
      <w:r w:rsidR="008F26C0">
        <w:t>overnment</w:t>
      </w:r>
      <w:r w:rsidR="003778D4">
        <w:t>’</w:t>
      </w:r>
      <w:r w:rsidR="008F26C0">
        <w:t>s attempts to build a new strategy.</w:t>
      </w:r>
      <w:r w:rsidR="003778D4">
        <w:t>”</w:t>
      </w:r>
      <w:r w:rsidR="008F26C0">
        <w:t xml:space="preserve"> </w:t>
      </w:r>
      <w:r w:rsidR="003778D4">
        <w:t xml:space="preserve">A significant group of development partners were now committed in writing to align their efforts. </w:t>
      </w:r>
    </w:p>
    <w:p w:rsidR="003778D4" w:rsidRDefault="003778D4"/>
    <w:p w:rsidR="003778D4" w:rsidRDefault="003778D4" w:rsidP="003778D4">
      <w:r>
        <w:t xml:space="preserve">The Government has changed the way it works as a result of all the significant partners in health being involved in the JFA. Everyone takes the provisions in the JFA seriously. Over the past two years, there has been greater deliberation over the health budget and the implications of decision-making. There is also a significant refocus on nutrition, not only through the health sector but also through education and sanitation budgets. </w:t>
      </w:r>
      <w:r w:rsidR="00581B6C">
        <w:t>The Government are also becoming more adept at str</w:t>
      </w:r>
      <w:r>
        <w:t xml:space="preserve">ategic </w:t>
      </w:r>
      <w:r w:rsidR="00581B6C">
        <w:t xml:space="preserve">purchasing of services where they do not have a comparative advantage and are willing to bring on board different types of health service providers.  </w:t>
      </w:r>
      <w:r>
        <w:t xml:space="preserve"> </w:t>
      </w:r>
    </w:p>
    <w:p w:rsidR="003778D4" w:rsidRDefault="003778D4"/>
    <w:p w:rsidR="001354AD" w:rsidRDefault="003778D4">
      <w:r>
        <w:t xml:space="preserve">Another agreement, the </w:t>
      </w:r>
      <w:r w:rsidR="001354AD">
        <w:t xml:space="preserve">Joint Technical Assistance </w:t>
      </w:r>
      <w:proofErr w:type="gramStart"/>
      <w:r w:rsidR="001354AD">
        <w:t xml:space="preserve">Arrangement </w:t>
      </w:r>
      <w:r>
        <w:t xml:space="preserve"> </w:t>
      </w:r>
      <w:r w:rsidR="00581B6C">
        <w:t>(</w:t>
      </w:r>
      <w:proofErr w:type="gramEnd"/>
      <w:r>
        <w:t>JTAA</w:t>
      </w:r>
      <w:r w:rsidR="00581B6C">
        <w:t>)</w:t>
      </w:r>
      <w:r>
        <w:t xml:space="preserve"> works in the same way as the JFA but th</w:t>
      </w:r>
      <w:r w:rsidR="001354AD">
        <w:t>r</w:t>
      </w:r>
      <w:r>
        <w:t>o</w:t>
      </w:r>
      <w:r w:rsidR="001354AD">
        <w:t>ugh te</w:t>
      </w:r>
      <w:r>
        <w:t>c</w:t>
      </w:r>
      <w:r w:rsidR="001354AD">
        <w:t xml:space="preserve">hnical assistance. </w:t>
      </w:r>
      <w:r>
        <w:t xml:space="preserve">It is striking that </w:t>
      </w:r>
      <w:r w:rsidR="008E3502">
        <w:t xml:space="preserve">in Nepal, </w:t>
      </w:r>
      <w:r>
        <w:t>half of development contributions to the health sect</w:t>
      </w:r>
      <w:r w:rsidR="008E3502">
        <w:t xml:space="preserve">or comes in the form of money. The other </w:t>
      </w:r>
      <w:r>
        <w:t>half comes in the form of technical assistance s</w:t>
      </w:r>
      <w:r w:rsidR="001354AD">
        <w:t>uch as pr</w:t>
      </w:r>
      <w:r>
        <w:t>oject implementation, consultation</w:t>
      </w:r>
      <w:r w:rsidR="001354AD">
        <w:t xml:space="preserve"> on area</w:t>
      </w:r>
      <w:r>
        <w:t xml:space="preserve">s </w:t>
      </w:r>
      <w:r w:rsidR="008E3502">
        <w:t xml:space="preserve">like </w:t>
      </w:r>
      <w:r w:rsidR="001354AD">
        <w:t xml:space="preserve">health care financing, or the purchasing and importing of commodities. </w:t>
      </w:r>
      <w:r>
        <w:t xml:space="preserve">When development </w:t>
      </w:r>
      <w:r w:rsidR="008E3502">
        <w:t>partners</w:t>
      </w:r>
      <w:r>
        <w:t xml:space="preserve"> carried out an exercise to see how they</w:t>
      </w:r>
      <w:r w:rsidR="003F5073">
        <w:t xml:space="preserve"> were aligning their Technical A</w:t>
      </w:r>
      <w:r>
        <w:t>ssistance</w:t>
      </w:r>
      <w:r w:rsidR="003F5073">
        <w:t xml:space="preserve"> (TA)</w:t>
      </w:r>
      <w:r>
        <w:t xml:space="preserve">, they were surprised to see </w:t>
      </w:r>
      <w:r w:rsidR="00D61521">
        <w:t xml:space="preserve">serious challenges </w:t>
      </w:r>
      <w:r>
        <w:t>align</w:t>
      </w:r>
      <w:r w:rsidR="00D61521">
        <w:t>ing their TA to the Government</w:t>
      </w:r>
      <w:r w:rsidR="003F5073">
        <w:t>’s programme an</w:t>
      </w:r>
      <w:r w:rsidR="00D61521">
        <w:t>d results framework</w:t>
      </w:r>
      <w:r>
        <w:t xml:space="preserve">. Aligning technical assistance across all development partners and the government became a priority. They agreed to sign a JTAA so that the discussion about Technical Assistance becomes part and parcel of the annual health </w:t>
      </w:r>
      <w:proofErr w:type="spellStart"/>
      <w:r>
        <w:t>workplan</w:t>
      </w:r>
      <w:proofErr w:type="spellEnd"/>
      <w:r>
        <w:t xml:space="preserve"> and budget and</w:t>
      </w:r>
      <w:r w:rsidR="00581B6C">
        <w:t xml:space="preserve"> the Ministry of Health are more involved in decisions</w:t>
      </w:r>
      <w:r w:rsidR="00D61521">
        <w:t xml:space="preserve"> concerning TA</w:t>
      </w:r>
      <w:r>
        <w:t xml:space="preserve">. </w:t>
      </w:r>
    </w:p>
    <w:p w:rsidR="001354AD" w:rsidRDefault="001354AD"/>
    <w:p w:rsidR="00E522A0" w:rsidRDefault="00581B6C">
      <w:r>
        <w:lastRenderedPageBreak/>
        <w:t xml:space="preserve">However, a critical issue of mutual accountability has complicated the implementation of the JTAA. While the Government can clearly expect transparency and accountability in the way that development partners provide Technical Assistance, development partners are used to being accountable only to financiers. According to </w:t>
      </w:r>
      <w:proofErr w:type="spellStart"/>
      <w:r>
        <w:t>Albertus</w:t>
      </w:r>
      <w:proofErr w:type="spellEnd"/>
      <w:r>
        <w:t xml:space="preserve"> </w:t>
      </w:r>
      <w:proofErr w:type="spellStart"/>
      <w:r>
        <w:t>Voeltberg</w:t>
      </w:r>
      <w:proofErr w:type="spellEnd"/>
      <w:r>
        <w:t xml:space="preserve"> it is sometimes difficult, if not impossible, for development partners to monitor and be accountable for all aspects of their interventions. “For regular contracts we can be open, but the technical cooperation side it is quite difficult.” </w:t>
      </w:r>
      <w:r w:rsidR="00E522A0">
        <w:t>Discussion</w:t>
      </w:r>
      <w:r>
        <w:t>s</w:t>
      </w:r>
      <w:r w:rsidR="00E522A0">
        <w:t xml:space="preserve"> about mutual accountability </w:t>
      </w:r>
      <w:r>
        <w:t>have</w:t>
      </w:r>
      <w:r w:rsidR="00E522A0">
        <w:t xml:space="preserve"> moved forward but it is a difficult </w:t>
      </w:r>
      <w:r>
        <w:t>process with</w:t>
      </w:r>
      <w:r w:rsidR="00E522A0">
        <w:t xml:space="preserve"> some of the content </w:t>
      </w:r>
      <w:r>
        <w:t xml:space="preserve">of the JTAA open to different interpretations. </w:t>
      </w:r>
    </w:p>
    <w:p w:rsidR="00E522A0" w:rsidRDefault="00E522A0"/>
    <w:p w:rsidR="00E522A0" w:rsidRDefault="00E522A0"/>
    <w:sectPr w:rsidR="00E522A0" w:rsidSect="001157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84B10"/>
    <w:multiLevelType w:val="hybridMultilevel"/>
    <w:tmpl w:val="12CEC7FA"/>
    <w:lvl w:ilvl="0" w:tplc="7A86F4BA">
      <w:start w:val="1"/>
      <w:numFmt w:val="decimal"/>
      <w:lvlText w:val="%1."/>
      <w:lvlJc w:val="left"/>
      <w:pPr>
        <w:tabs>
          <w:tab w:val="num" w:pos="720"/>
        </w:tabs>
        <w:ind w:left="720" w:hanging="360"/>
      </w:pPr>
      <w:rPr>
        <w:rFonts w:cs="Times New Roman"/>
      </w:rPr>
    </w:lvl>
    <w:lvl w:ilvl="1" w:tplc="26AAA4BA">
      <w:numFmt w:val="none"/>
      <w:pStyle w:val="Heading1"/>
      <w:lvlText w:val=""/>
      <w:lvlJc w:val="left"/>
      <w:pPr>
        <w:tabs>
          <w:tab w:val="num" w:pos="360"/>
        </w:tabs>
      </w:pPr>
    </w:lvl>
    <w:lvl w:ilvl="2" w:tplc="13645F14">
      <w:numFmt w:val="none"/>
      <w:lvlText w:val=""/>
      <w:lvlJc w:val="left"/>
      <w:pPr>
        <w:tabs>
          <w:tab w:val="num" w:pos="360"/>
        </w:tabs>
      </w:pPr>
    </w:lvl>
    <w:lvl w:ilvl="3" w:tplc="05447BAC">
      <w:numFmt w:val="none"/>
      <w:lvlText w:val=""/>
      <w:lvlJc w:val="left"/>
      <w:pPr>
        <w:tabs>
          <w:tab w:val="num" w:pos="360"/>
        </w:tabs>
      </w:pPr>
    </w:lvl>
    <w:lvl w:ilvl="4" w:tplc="F7784790">
      <w:numFmt w:val="none"/>
      <w:lvlText w:val=""/>
      <w:lvlJc w:val="left"/>
      <w:pPr>
        <w:tabs>
          <w:tab w:val="num" w:pos="360"/>
        </w:tabs>
      </w:pPr>
    </w:lvl>
    <w:lvl w:ilvl="5" w:tplc="CA6C4D1C">
      <w:numFmt w:val="none"/>
      <w:lvlText w:val=""/>
      <w:lvlJc w:val="left"/>
      <w:pPr>
        <w:tabs>
          <w:tab w:val="num" w:pos="360"/>
        </w:tabs>
      </w:pPr>
    </w:lvl>
    <w:lvl w:ilvl="6" w:tplc="BF4435A2">
      <w:numFmt w:val="none"/>
      <w:lvlText w:val=""/>
      <w:lvlJc w:val="left"/>
      <w:pPr>
        <w:tabs>
          <w:tab w:val="num" w:pos="360"/>
        </w:tabs>
      </w:pPr>
    </w:lvl>
    <w:lvl w:ilvl="7" w:tplc="09B6EEF4">
      <w:numFmt w:val="none"/>
      <w:lvlText w:val=""/>
      <w:lvlJc w:val="left"/>
      <w:pPr>
        <w:tabs>
          <w:tab w:val="num" w:pos="360"/>
        </w:tabs>
      </w:pPr>
    </w:lvl>
    <w:lvl w:ilvl="8" w:tplc="B80C4C92">
      <w:numFmt w:val="none"/>
      <w:lvlText w:val=""/>
      <w:lvlJc w:val="left"/>
      <w:pPr>
        <w:tabs>
          <w:tab w:val="num" w:pos="360"/>
        </w:tabs>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A5FC1"/>
    <w:rsid w:val="0003177B"/>
    <w:rsid w:val="001157CA"/>
    <w:rsid w:val="001354AD"/>
    <w:rsid w:val="00350AE3"/>
    <w:rsid w:val="003778D4"/>
    <w:rsid w:val="003F5073"/>
    <w:rsid w:val="00455C4C"/>
    <w:rsid w:val="00581B6C"/>
    <w:rsid w:val="005F2154"/>
    <w:rsid w:val="00697A12"/>
    <w:rsid w:val="0074490E"/>
    <w:rsid w:val="007D0F8A"/>
    <w:rsid w:val="008158D1"/>
    <w:rsid w:val="0082368D"/>
    <w:rsid w:val="00886BF5"/>
    <w:rsid w:val="008E3502"/>
    <w:rsid w:val="008F26C0"/>
    <w:rsid w:val="00946EA6"/>
    <w:rsid w:val="0098763C"/>
    <w:rsid w:val="009F117F"/>
    <w:rsid w:val="00AA5FC1"/>
    <w:rsid w:val="00AD69D1"/>
    <w:rsid w:val="00CC5791"/>
    <w:rsid w:val="00D61521"/>
    <w:rsid w:val="00E522A0"/>
    <w:rsid w:val="00E96766"/>
    <w:rsid w:val="00FE74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90E"/>
    <w:rPr>
      <w:sz w:val="24"/>
      <w:szCs w:val="24"/>
      <w:lang w:eastAsia="en-US"/>
    </w:rPr>
  </w:style>
  <w:style w:type="paragraph" w:styleId="Heading1">
    <w:name w:val="heading 1"/>
    <w:basedOn w:val="Normal"/>
    <w:next w:val="Normal"/>
    <w:link w:val="Heading1Char"/>
    <w:autoRedefine/>
    <w:uiPriority w:val="9"/>
    <w:qFormat/>
    <w:rsid w:val="0074490E"/>
    <w:pPr>
      <w:keepNext/>
      <w:keepLines/>
      <w:numPr>
        <w:ilvl w:val="1"/>
        <w:numId w:val="3"/>
      </w:numPr>
      <w:tabs>
        <w:tab w:val="right" w:pos="9406"/>
      </w:tabs>
      <w:outlineLvl w:val="0"/>
    </w:pPr>
    <w:rPr>
      <w:rFonts w:eastAsia="Times New Roman"/>
      <w:b/>
      <w:bCs/>
      <w:color w:val="FF6600"/>
      <w:spacing w:val="-13"/>
      <w:kern w:val="42"/>
      <w:sz w:val="28"/>
      <w:szCs w:val="32"/>
    </w:rPr>
  </w:style>
  <w:style w:type="paragraph" w:styleId="Heading2">
    <w:name w:val="heading 2"/>
    <w:basedOn w:val="Normal"/>
    <w:next w:val="Normal"/>
    <w:link w:val="Heading2Char"/>
    <w:autoRedefine/>
    <w:uiPriority w:val="9"/>
    <w:qFormat/>
    <w:rsid w:val="0074490E"/>
    <w:pPr>
      <w:keepNext/>
      <w:keepLines/>
      <w:spacing w:after="240"/>
      <w:outlineLvl w:val="1"/>
    </w:pPr>
    <w:rPr>
      <w:rFonts w:eastAsia="Times New Roman"/>
      <w:b/>
      <w:bCs/>
      <w:color w:val="342020"/>
      <w:spacing w:val="-8"/>
      <w:sz w:val="28"/>
      <w:szCs w:val="26"/>
    </w:rPr>
  </w:style>
  <w:style w:type="paragraph" w:styleId="Heading3">
    <w:name w:val="heading 3"/>
    <w:basedOn w:val="Normal"/>
    <w:next w:val="Normal"/>
    <w:link w:val="Heading3Char"/>
    <w:autoRedefine/>
    <w:uiPriority w:val="9"/>
    <w:qFormat/>
    <w:rsid w:val="0074490E"/>
    <w:pPr>
      <w:keepNext/>
      <w:keepLines/>
      <w:outlineLvl w:val="2"/>
    </w:pPr>
    <w:rPr>
      <w:rFonts w:eastAsia="Times New Roman"/>
      <w:b/>
      <w:bCs/>
      <w:color w:val="FF6600"/>
    </w:rPr>
  </w:style>
  <w:style w:type="paragraph" w:styleId="Heading4">
    <w:name w:val="heading 4"/>
    <w:basedOn w:val="Normal"/>
    <w:next w:val="Normal"/>
    <w:link w:val="Heading4Char"/>
    <w:qFormat/>
    <w:rsid w:val="0074490E"/>
    <w:pPr>
      <w:keepNext/>
      <w:spacing w:before="240" w:after="60"/>
      <w:outlineLvl w:val="3"/>
    </w:pPr>
    <w:rPr>
      <w:b/>
      <w:bCs/>
      <w:color w:val="9933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90E"/>
    <w:rPr>
      <w:rFonts w:eastAsia="Times New Roman"/>
      <w:b/>
      <w:bCs/>
      <w:color w:val="FF6600"/>
      <w:spacing w:val="-13"/>
      <w:kern w:val="42"/>
      <w:sz w:val="28"/>
      <w:szCs w:val="32"/>
      <w:lang w:eastAsia="en-US"/>
    </w:rPr>
  </w:style>
  <w:style w:type="character" w:customStyle="1" w:styleId="Heading1Char1">
    <w:name w:val="Heading 1 Char1"/>
    <w:basedOn w:val="DefaultParagraphFont"/>
    <w:uiPriority w:val="9"/>
    <w:rsid w:val="0074490E"/>
    <w:rPr>
      <w:rFonts w:ascii="Arial" w:hAnsi="Arial"/>
      <w:b/>
      <w:bCs/>
      <w:color w:val="FF6600"/>
      <w:spacing w:val="-13"/>
      <w:kern w:val="42"/>
      <w:sz w:val="28"/>
      <w:szCs w:val="32"/>
      <w:lang w:val="en-GB" w:eastAsia="en-US" w:bidi="ar-SA"/>
    </w:rPr>
  </w:style>
  <w:style w:type="character" w:customStyle="1" w:styleId="Heading2Char">
    <w:name w:val="Heading 2 Char"/>
    <w:basedOn w:val="DefaultParagraphFont"/>
    <w:link w:val="Heading2"/>
    <w:uiPriority w:val="9"/>
    <w:rsid w:val="0074490E"/>
    <w:rPr>
      <w:rFonts w:eastAsia="Times New Roman"/>
      <w:b/>
      <w:bCs/>
      <w:color w:val="342020"/>
      <w:spacing w:val="-8"/>
      <w:sz w:val="28"/>
      <w:szCs w:val="26"/>
      <w:lang w:eastAsia="en-US"/>
    </w:rPr>
  </w:style>
  <w:style w:type="character" w:customStyle="1" w:styleId="Heading2Char1">
    <w:name w:val="Heading 2 Char1"/>
    <w:basedOn w:val="DefaultParagraphFont"/>
    <w:uiPriority w:val="9"/>
    <w:rsid w:val="0074490E"/>
    <w:rPr>
      <w:rFonts w:eastAsia="Times New Roman"/>
      <w:b/>
      <w:bCs/>
      <w:color w:val="342020"/>
      <w:spacing w:val="-8"/>
      <w:sz w:val="28"/>
      <w:szCs w:val="26"/>
    </w:rPr>
  </w:style>
  <w:style w:type="character" w:customStyle="1" w:styleId="Heading3Char">
    <w:name w:val="Heading 3 Char"/>
    <w:basedOn w:val="DefaultParagraphFont"/>
    <w:link w:val="Heading3"/>
    <w:uiPriority w:val="9"/>
    <w:rsid w:val="0074490E"/>
    <w:rPr>
      <w:rFonts w:eastAsia="Times New Roman"/>
      <w:b/>
      <w:bCs/>
      <w:color w:val="FF6600"/>
      <w:sz w:val="24"/>
      <w:szCs w:val="24"/>
      <w:lang w:eastAsia="en-US"/>
    </w:rPr>
  </w:style>
  <w:style w:type="character" w:customStyle="1" w:styleId="Heading3Char1">
    <w:name w:val="Heading 3 Char1"/>
    <w:basedOn w:val="DefaultParagraphFont"/>
    <w:uiPriority w:val="9"/>
    <w:rsid w:val="0074490E"/>
    <w:rPr>
      <w:rFonts w:ascii="Arial" w:eastAsia="Times New Roman" w:hAnsi="Arial" w:cs="Times New Roman"/>
      <w:b/>
      <w:bCs/>
      <w:color w:val="FF6600"/>
    </w:rPr>
  </w:style>
  <w:style w:type="character" w:customStyle="1" w:styleId="Heading4Char">
    <w:name w:val="Heading 4 Char"/>
    <w:basedOn w:val="DefaultParagraphFont"/>
    <w:link w:val="Heading4"/>
    <w:rsid w:val="0074490E"/>
    <w:rPr>
      <w:b/>
      <w:bCs/>
      <w:color w:val="993300"/>
      <w:sz w:val="24"/>
      <w:szCs w:val="28"/>
      <w:lang w:eastAsia="en-US"/>
    </w:rPr>
  </w:style>
  <w:style w:type="paragraph" w:styleId="Caption">
    <w:name w:val="caption"/>
    <w:basedOn w:val="Normal"/>
    <w:next w:val="Normal"/>
    <w:qFormat/>
    <w:rsid w:val="0074490E"/>
    <w:pPr>
      <w:spacing w:after="200"/>
    </w:pPr>
    <w:rPr>
      <w:b/>
      <w:bCs/>
      <w:color w:val="200000"/>
      <w:sz w:val="18"/>
      <w:szCs w:val="18"/>
    </w:rPr>
  </w:style>
  <w:style w:type="character" w:styleId="Strong">
    <w:name w:val="Strong"/>
    <w:basedOn w:val="DefaultParagraphFont"/>
    <w:qFormat/>
    <w:rsid w:val="0074490E"/>
    <w:rPr>
      <w:b/>
      <w:bCs/>
    </w:rPr>
  </w:style>
  <w:style w:type="paragraph" w:styleId="NoSpacing">
    <w:name w:val="No Spacing"/>
    <w:link w:val="NoSpacingChar"/>
    <w:qFormat/>
    <w:rsid w:val="0074490E"/>
    <w:rPr>
      <w:rFonts w:ascii="Calibri" w:eastAsia="Times New Roman" w:hAnsi="Calibri" w:cs="Calibri"/>
      <w:sz w:val="22"/>
      <w:szCs w:val="22"/>
      <w:lang w:val="en-US" w:eastAsia="en-US"/>
    </w:rPr>
  </w:style>
  <w:style w:type="character" w:customStyle="1" w:styleId="NoSpacingChar">
    <w:name w:val="No Spacing Char"/>
    <w:basedOn w:val="DefaultParagraphFont"/>
    <w:link w:val="NoSpacing"/>
    <w:locked/>
    <w:rsid w:val="0074490E"/>
    <w:rPr>
      <w:rFonts w:ascii="Calibri" w:eastAsia="Times New Roman" w:hAnsi="Calibri" w:cs="Calibri"/>
      <w:sz w:val="22"/>
      <w:szCs w:val="22"/>
      <w:lang w:val="en-US" w:eastAsia="en-US"/>
    </w:rPr>
  </w:style>
  <w:style w:type="paragraph" w:styleId="ListParagraph">
    <w:name w:val="List Paragraph"/>
    <w:basedOn w:val="Normal"/>
    <w:qFormat/>
    <w:rsid w:val="0074490E"/>
    <w:pPr>
      <w:spacing w:after="200" w:line="276" w:lineRule="auto"/>
      <w:ind w:left="720"/>
      <w:contextualSpacing/>
    </w:pPr>
    <w:rPr>
      <w:rFonts w:ascii="Calibri" w:eastAsia="Times New Roman" w:hAnsi="Calibri"/>
      <w:sz w:val="22"/>
      <w:szCs w:val="22"/>
      <w:lang w:val="en-US"/>
    </w:rPr>
  </w:style>
  <w:style w:type="paragraph" w:customStyle="1" w:styleId="Pullout1">
    <w:name w:val="Pullout 1"/>
    <w:basedOn w:val="Heading1"/>
    <w:qFormat/>
    <w:rsid w:val="0074490E"/>
    <w:pPr>
      <w:numPr>
        <w:ilvl w:val="0"/>
        <w:numId w:val="0"/>
      </w:numPr>
      <w:tabs>
        <w:tab w:val="num" w:pos="426"/>
      </w:tabs>
      <w:jc w:val="center"/>
    </w:pPr>
    <w:rPr>
      <w:color w:val="342020"/>
    </w:rPr>
  </w:style>
  <w:style w:type="paragraph" w:customStyle="1" w:styleId="Heading2-Orange">
    <w:name w:val="Heading 2 - Orange"/>
    <w:basedOn w:val="Heading2"/>
    <w:link w:val="Heading2-OrangeChar"/>
    <w:autoRedefine/>
    <w:qFormat/>
    <w:rsid w:val="0074490E"/>
    <w:pPr>
      <w:spacing w:after="0"/>
    </w:pPr>
    <w:rPr>
      <w:color w:val="FF6600"/>
      <w:sz w:val="24"/>
    </w:rPr>
  </w:style>
  <w:style w:type="character" w:customStyle="1" w:styleId="Heading2-OrangeChar">
    <w:name w:val="Heading 2 - Orange Char"/>
    <w:basedOn w:val="Heading2Char1"/>
    <w:link w:val="Heading2-Orange"/>
    <w:rsid w:val="0074490E"/>
    <w:rPr>
      <w:color w:val="FF6600"/>
      <w:sz w:val="24"/>
      <w:lang w:eastAsia="en-US"/>
    </w:rPr>
  </w:style>
  <w:style w:type="paragraph" w:customStyle="1" w:styleId="Heading2-Red">
    <w:name w:val="Heading 2 - Red"/>
    <w:basedOn w:val="Heading2"/>
    <w:qFormat/>
    <w:rsid w:val="0074490E"/>
    <w:rPr>
      <w:color w:val="EE2222"/>
    </w:rPr>
  </w:style>
  <w:style w:type="paragraph" w:customStyle="1" w:styleId="Heading2-Maroon">
    <w:name w:val="Heading 2 - Maroon"/>
    <w:basedOn w:val="Heading2"/>
    <w:qFormat/>
    <w:rsid w:val="0074490E"/>
    <w:rPr>
      <w:color w:val="661133"/>
    </w:rPr>
  </w:style>
  <w:style w:type="paragraph" w:customStyle="1" w:styleId="Heading3-Maroon">
    <w:name w:val="Heading 3 - Maroon"/>
    <w:basedOn w:val="Heading3"/>
    <w:qFormat/>
    <w:rsid w:val="0074490E"/>
    <w:rPr>
      <w:color w:val="661133"/>
    </w:rPr>
  </w:style>
  <w:style w:type="paragraph" w:customStyle="1" w:styleId="Heading3-Red">
    <w:name w:val="Heading 3 - Red"/>
    <w:basedOn w:val="Heading3"/>
    <w:qFormat/>
    <w:rsid w:val="0074490E"/>
    <w:rPr>
      <w:color w:val="EE2222"/>
    </w:rPr>
  </w:style>
  <w:style w:type="paragraph" w:customStyle="1" w:styleId="Pullout1-White">
    <w:name w:val="Pullout 1 - White"/>
    <w:basedOn w:val="Pullout1"/>
    <w:qFormat/>
    <w:rsid w:val="0074490E"/>
    <w:rPr>
      <w:color w:val="FFFFFF"/>
    </w:rPr>
  </w:style>
  <w:style w:type="paragraph" w:customStyle="1" w:styleId="TextBox1">
    <w:name w:val="Text Box 1"/>
    <w:basedOn w:val="Normal"/>
    <w:qFormat/>
    <w:rsid w:val="0074490E"/>
    <w:rPr>
      <w:b/>
    </w:rPr>
  </w:style>
  <w:style w:type="paragraph" w:customStyle="1" w:styleId="LeadArticle1">
    <w:name w:val="Lead Article 1"/>
    <w:basedOn w:val="Normal"/>
    <w:qFormat/>
    <w:rsid w:val="0074490E"/>
    <w:rPr>
      <w:b/>
      <w:color w:val="FF66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Dunn</dc:creator>
  <cp:lastModifiedBy>Alison Dunn</cp:lastModifiedBy>
  <cp:revision>2</cp:revision>
  <dcterms:created xsi:type="dcterms:W3CDTF">2012-05-15T07:55:00Z</dcterms:created>
  <dcterms:modified xsi:type="dcterms:W3CDTF">2012-05-15T07:55:00Z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-1731073380</vt:i4>
  </property>
  <property fmtid="{D5CDD505-2E9C-101B-9397-08002B2CF9AE}" pid="3" name="_NewReviewCycle">
    <vt:lpwstr/>
  </property>
  <property fmtid="{D5CDD505-2E9C-101B-9397-08002B2CF9AE}" pid="4" name="_EmailSubject">
    <vt:lpwstr>Docs to upload</vt:lpwstr>
  </property>
  <property fmtid="{D5CDD505-2E9C-101B-9397-08002B2CF9AE}" pid="5" name="_AuthorEmail">
    <vt:lpwstr>dyrhaugej@who.int</vt:lpwstr>
  </property>
  <property fmtid="{D5CDD505-2E9C-101B-9397-08002B2CF9AE}" pid="6" name="_AuthorEmailDisplayName">
    <vt:lpwstr>DYRHAUGE, Jane Stella</vt:lpwstr>
  </property>
</Properties>
</file>